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E0" w:rsidRDefault="000553FC">
      <w:pPr>
        <w:spacing w:line="560" w:lineRule="exact"/>
        <w:rPr>
          <w:rFonts w:ascii="黑体" w:eastAsia="黑体" w:hAnsi="黑体" w:cs="黑体"/>
          <w:spacing w:val="15"/>
          <w:sz w:val="32"/>
          <w:szCs w:val="32"/>
        </w:rPr>
      </w:pPr>
      <w:r>
        <w:rPr>
          <w:rFonts w:ascii="黑体" w:eastAsia="黑体" w:hAnsi="黑体" w:cs="黑体" w:hint="eastAsia"/>
          <w:spacing w:val="15"/>
          <w:sz w:val="32"/>
          <w:szCs w:val="32"/>
        </w:rPr>
        <w:t>附件2-1</w:t>
      </w:r>
    </w:p>
    <w:p w:rsidR="00745EE0" w:rsidRDefault="00745EE0">
      <w:pPr>
        <w:spacing w:line="560" w:lineRule="exact"/>
        <w:jc w:val="center"/>
        <w:rPr>
          <w:rFonts w:ascii="方正小标宋简体" w:eastAsia="方正小标宋简体" w:hAnsi="方正小标宋简体" w:cs="方正小标宋简体"/>
          <w:spacing w:val="15"/>
          <w:sz w:val="44"/>
          <w:szCs w:val="44"/>
        </w:rPr>
      </w:pPr>
    </w:p>
    <w:p w:rsidR="00745EE0" w:rsidRDefault="00745EE0">
      <w:pPr>
        <w:spacing w:line="560" w:lineRule="exact"/>
        <w:jc w:val="center"/>
        <w:rPr>
          <w:rFonts w:ascii="方正小标宋简体" w:eastAsia="方正小标宋简体" w:hAnsi="方正小标宋简体" w:cs="方正小标宋简体"/>
          <w:bCs/>
          <w:spacing w:val="15"/>
          <w:sz w:val="44"/>
          <w:szCs w:val="44"/>
        </w:rPr>
      </w:pPr>
    </w:p>
    <w:p w:rsidR="00745EE0" w:rsidRDefault="00745EE0">
      <w:pPr>
        <w:spacing w:line="560" w:lineRule="exact"/>
        <w:jc w:val="center"/>
        <w:rPr>
          <w:rFonts w:ascii="方正小标宋简体" w:eastAsia="方正小标宋简体" w:hAnsi="方正小标宋简体" w:cs="方正小标宋简体"/>
          <w:bCs/>
          <w:spacing w:val="15"/>
          <w:sz w:val="44"/>
          <w:szCs w:val="44"/>
        </w:rPr>
      </w:pPr>
    </w:p>
    <w:p w:rsidR="00745EE0" w:rsidRDefault="00745EE0">
      <w:pPr>
        <w:spacing w:line="560" w:lineRule="exact"/>
        <w:jc w:val="center"/>
        <w:rPr>
          <w:rFonts w:ascii="方正小标宋简体" w:eastAsia="方正小标宋简体" w:hAnsi="方正小标宋简体" w:cs="方正小标宋简体"/>
          <w:bCs/>
          <w:spacing w:val="15"/>
          <w:sz w:val="44"/>
          <w:szCs w:val="44"/>
        </w:rPr>
      </w:pPr>
    </w:p>
    <w:p w:rsidR="00745EE0" w:rsidRDefault="00745EE0">
      <w:pPr>
        <w:spacing w:line="560" w:lineRule="exact"/>
        <w:jc w:val="center"/>
        <w:rPr>
          <w:rFonts w:ascii="方正小标宋简体" w:eastAsia="方正小标宋简体" w:hAnsi="方正小标宋简体" w:cs="方正小标宋简体"/>
          <w:bCs/>
          <w:spacing w:val="15"/>
          <w:sz w:val="44"/>
          <w:szCs w:val="44"/>
        </w:rPr>
      </w:pPr>
    </w:p>
    <w:p w:rsidR="00745EE0" w:rsidRDefault="00745EE0">
      <w:pPr>
        <w:spacing w:line="560" w:lineRule="exact"/>
        <w:jc w:val="center"/>
        <w:rPr>
          <w:rFonts w:ascii="方正小标宋简体" w:eastAsia="方正小标宋简体" w:hAnsi="方正小标宋简体" w:cs="方正小标宋简体"/>
          <w:bCs/>
          <w:spacing w:val="15"/>
          <w:sz w:val="44"/>
          <w:szCs w:val="44"/>
        </w:rPr>
      </w:pPr>
    </w:p>
    <w:p w:rsidR="00745EE0" w:rsidRDefault="00745EE0">
      <w:pPr>
        <w:spacing w:line="560" w:lineRule="exact"/>
        <w:jc w:val="center"/>
        <w:rPr>
          <w:rFonts w:ascii="方正小标宋简体" w:eastAsia="方正小标宋简体" w:hAnsi="方正小标宋简体" w:cs="方正小标宋简体"/>
          <w:bCs/>
          <w:spacing w:val="15"/>
          <w:sz w:val="44"/>
          <w:szCs w:val="44"/>
        </w:rPr>
      </w:pPr>
    </w:p>
    <w:p w:rsidR="00745EE0" w:rsidRDefault="00745EE0">
      <w:pPr>
        <w:spacing w:line="560" w:lineRule="exact"/>
        <w:jc w:val="center"/>
        <w:rPr>
          <w:rFonts w:ascii="方正小标宋简体" w:eastAsia="方正小标宋简体" w:hAnsi="方正小标宋简体" w:cs="方正小标宋简体"/>
          <w:bCs/>
          <w:spacing w:val="15"/>
          <w:sz w:val="44"/>
          <w:szCs w:val="44"/>
        </w:rPr>
      </w:pPr>
    </w:p>
    <w:p w:rsidR="00745EE0" w:rsidRDefault="000553FC">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bCs/>
          <w:spacing w:val="15"/>
          <w:sz w:val="44"/>
          <w:szCs w:val="44"/>
          <w:lang w:val="en"/>
        </w:rPr>
        <w:t>丽水市</w:t>
      </w:r>
      <w:r>
        <w:rPr>
          <w:rFonts w:ascii="方正小标宋简体" w:eastAsia="方正小标宋简体" w:hAnsi="方正小标宋简体" w:cs="方正小标宋简体" w:hint="eastAsia"/>
          <w:bCs/>
          <w:spacing w:val="15"/>
          <w:sz w:val="44"/>
          <w:szCs w:val="44"/>
        </w:rPr>
        <w:t>体育运动训练中心</w:t>
      </w:r>
    </w:p>
    <w:p w:rsidR="00745EE0" w:rsidRDefault="000553FC">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2023年单位预算</w:t>
      </w:r>
    </w:p>
    <w:p w:rsidR="00745EE0" w:rsidRDefault="00745EE0" w:rsidP="00E53029">
      <w:pPr>
        <w:spacing w:line="560" w:lineRule="exact"/>
        <w:ind w:firstLineChars="196" w:firstLine="590"/>
        <w:rPr>
          <w:rStyle w:val="a7"/>
          <w:color w:val="000000"/>
          <w:sz w:val="30"/>
          <w:szCs w:val="30"/>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745EE0">
      <w:pPr>
        <w:spacing w:line="520" w:lineRule="exact"/>
        <w:ind w:firstLineChars="196" w:firstLine="627"/>
        <w:jc w:val="center"/>
        <w:rPr>
          <w:rStyle w:val="a7"/>
          <w:rFonts w:ascii="黑体" w:eastAsia="黑体"/>
          <w:b w:val="0"/>
          <w:color w:val="000000"/>
          <w:sz w:val="32"/>
          <w:szCs w:val="32"/>
          <w:highlight w:val="yellow"/>
        </w:rPr>
      </w:pPr>
    </w:p>
    <w:p w:rsidR="00745EE0" w:rsidRDefault="000553FC">
      <w:pPr>
        <w:spacing w:line="520" w:lineRule="exact"/>
        <w:jc w:val="center"/>
        <w:rPr>
          <w:rStyle w:val="a7"/>
          <w:rFonts w:ascii="方正小标宋简体" w:eastAsia="方正小标宋简体"/>
          <w:b w:val="0"/>
          <w:color w:val="000000"/>
          <w:sz w:val="44"/>
          <w:szCs w:val="44"/>
        </w:rPr>
      </w:pPr>
      <w:r>
        <w:rPr>
          <w:rStyle w:val="a7"/>
          <w:rFonts w:ascii="方正小标宋简体" w:eastAsia="方正小标宋简体" w:hint="eastAsia"/>
          <w:b w:val="0"/>
          <w:color w:val="000000"/>
          <w:sz w:val="44"/>
          <w:szCs w:val="44"/>
        </w:rPr>
        <w:lastRenderedPageBreak/>
        <w:t>目   录</w:t>
      </w:r>
    </w:p>
    <w:p w:rsidR="00745EE0" w:rsidRDefault="00745EE0">
      <w:pPr>
        <w:pStyle w:val="Default"/>
        <w:rPr>
          <w:rFonts w:hint="default"/>
        </w:rPr>
      </w:pPr>
    </w:p>
    <w:p w:rsidR="00745EE0" w:rsidRDefault="000553FC">
      <w:pPr>
        <w:spacing w:line="600" w:lineRule="exact"/>
        <w:rPr>
          <w:rFonts w:eastAsia="黑体"/>
          <w:sz w:val="32"/>
        </w:rPr>
      </w:pPr>
      <w:r>
        <w:rPr>
          <w:rFonts w:ascii="黑体" w:eastAsia="黑体" w:hint="eastAsia"/>
          <w:color w:val="000000"/>
          <w:sz w:val="32"/>
        </w:rPr>
        <w:t>一、</w:t>
      </w:r>
      <w:r>
        <w:rPr>
          <w:rStyle w:val="a7"/>
          <w:rFonts w:ascii="黑体" w:eastAsia="黑体" w:hint="eastAsia"/>
          <w:b w:val="0"/>
          <w:color w:val="000000"/>
          <w:sz w:val="32"/>
          <w:szCs w:val="32"/>
        </w:rPr>
        <w:t>单位概况</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745EE0" w:rsidRDefault="000553FC">
      <w:pPr>
        <w:spacing w:line="600" w:lineRule="exact"/>
        <w:rPr>
          <w:rStyle w:val="a7"/>
          <w:rFonts w:ascii="黑体" w:eastAsia="黑体"/>
          <w:b w:val="0"/>
          <w:color w:val="000000"/>
          <w:sz w:val="32"/>
          <w:szCs w:val="32"/>
        </w:rPr>
      </w:pPr>
      <w:r>
        <w:rPr>
          <w:rStyle w:val="a7"/>
          <w:rFonts w:ascii="黑体" w:eastAsia="黑体" w:hint="eastAsia"/>
          <w:b w:val="0"/>
          <w:color w:val="000000"/>
          <w:sz w:val="32"/>
          <w:szCs w:val="32"/>
        </w:rPr>
        <w:t>二、2023年丽水市体育运动训练中心单位预算安排情况说明</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（一）关于丽水市体育运动训练中心2023年收支预算情况的总体</w:t>
      </w:r>
    </w:p>
    <w:p w:rsidR="00745EE0" w:rsidRDefault="000553FC">
      <w:pPr>
        <w:autoSpaceDE w:val="0"/>
        <w:autoSpaceDN w:val="0"/>
        <w:adjustRightInd w:val="0"/>
        <w:spacing w:line="600" w:lineRule="exact"/>
        <w:ind w:firstLineChars="350" w:firstLine="11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说明</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（二）关于丽水市体育运动训练中心2023年收入预算情况说明</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（三）关于丽水市体育运动训练中心2023年支出预算情况说明</w:t>
      </w:r>
      <w:r>
        <w:rPr>
          <w:rFonts w:ascii="楷体_GB2312" w:eastAsia="楷体_GB2312" w:hAnsi="楷体_GB2312" w:cs="楷体_GB2312" w:hint="eastAsia"/>
          <w:bCs/>
          <w:sz w:val="32"/>
          <w:szCs w:val="32"/>
        </w:rPr>
        <w:br/>
        <w:t>（四）关于丽水市体育运动训练中心2023年财政拨款收支预算情</w:t>
      </w:r>
    </w:p>
    <w:p w:rsidR="00745EE0" w:rsidRDefault="000553FC">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proofErr w:type="gramStart"/>
      <w:r>
        <w:rPr>
          <w:rFonts w:ascii="楷体_GB2312" w:eastAsia="楷体_GB2312" w:hAnsi="楷体_GB2312" w:cs="楷体_GB2312" w:hint="eastAsia"/>
          <w:bCs/>
          <w:sz w:val="32"/>
          <w:szCs w:val="32"/>
        </w:rPr>
        <w:t>况</w:t>
      </w:r>
      <w:proofErr w:type="gramEnd"/>
      <w:r>
        <w:rPr>
          <w:rFonts w:ascii="楷体_GB2312" w:eastAsia="楷体_GB2312" w:hAnsi="楷体_GB2312" w:cs="楷体_GB2312" w:hint="eastAsia"/>
          <w:bCs/>
          <w:sz w:val="32"/>
          <w:szCs w:val="32"/>
        </w:rPr>
        <w:t>的总体说明</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（五）关于丽水市体育运动训练中心2023年一般公共预算当年拨</w:t>
      </w:r>
    </w:p>
    <w:p w:rsidR="00745EE0" w:rsidRDefault="000553FC">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款情况说明</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（六）关于丽水市体育运动训练中心2023年一般公共预算基本支</w:t>
      </w:r>
    </w:p>
    <w:p w:rsidR="00745EE0" w:rsidRDefault="000553FC">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出情况说明</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（七）关于丽水市体育运动训练中心2023年政府性基金预算支出</w:t>
      </w:r>
    </w:p>
    <w:p w:rsidR="00745EE0" w:rsidRDefault="000553FC">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情况说明</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（八）关于丽水市体育运动训练中心2023年国有资本经营预算支</w:t>
      </w:r>
    </w:p>
    <w:p w:rsidR="00745EE0" w:rsidRDefault="000553FC">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出情况说明</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（九）关于丽水市体育运动训练中心2023年一般公共预算“三公”</w:t>
      </w:r>
    </w:p>
    <w:p w:rsidR="00745EE0" w:rsidRDefault="000553FC">
      <w:pPr>
        <w:autoSpaceDE w:val="0"/>
        <w:autoSpaceDN w:val="0"/>
        <w:adjustRightInd w:val="0"/>
        <w:spacing w:line="600" w:lineRule="exact"/>
        <w:ind w:firstLineChars="300" w:firstLine="96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经费预算情况说明</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745EE0" w:rsidRDefault="000553FC">
      <w:pPr>
        <w:pStyle w:val="p0"/>
        <w:spacing w:line="600" w:lineRule="exact"/>
        <w:rPr>
          <w:rStyle w:val="a7"/>
          <w:rFonts w:ascii="黑体" w:eastAsia="黑体" w:hAnsi="Calibri"/>
          <w:b w:val="0"/>
          <w:color w:val="000000"/>
          <w:kern w:val="2"/>
          <w:sz w:val="32"/>
          <w:szCs w:val="32"/>
        </w:rPr>
      </w:pPr>
      <w:r>
        <w:rPr>
          <w:rStyle w:val="a7"/>
          <w:rFonts w:ascii="黑体" w:eastAsia="黑体" w:hAnsi="Calibri" w:hint="eastAsia"/>
          <w:b w:val="0"/>
          <w:color w:val="000000"/>
          <w:kern w:val="2"/>
          <w:sz w:val="32"/>
          <w:szCs w:val="32"/>
        </w:rPr>
        <w:lastRenderedPageBreak/>
        <w:t>三、名词解释</w:t>
      </w:r>
    </w:p>
    <w:p w:rsidR="00745EE0" w:rsidRDefault="000553FC">
      <w:pPr>
        <w:spacing w:line="600" w:lineRule="exact"/>
        <w:rPr>
          <w:rStyle w:val="a7"/>
          <w:rFonts w:ascii="黑体" w:eastAsia="黑体"/>
          <w:b w:val="0"/>
          <w:color w:val="000000"/>
          <w:sz w:val="32"/>
          <w:szCs w:val="32"/>
        </w:rPr>
      </w:pPr>
      <w:r>
        <w:rPr>
          <w:rStyle w:val="a7"/>
          <w:rFonts w:ascii="黑体" w:eastAsia="黑体" w:hint="eastAsia"/>
          <w:b w:val="0"/>
          <w:color w:val="000000"/>
          <w:sz w:val="32"/>
          <w:szCs w:val="32"/>
        </w:rPr>
        <w:t>四、2023年</w:t>
      </w:r>
      <w:r>
        <w:rPr>
          <w:rStyle w:val="a7"/>
          <w:rFonts w:ascii="黑体" w:eastAsia="黑体" w:hAnsi="Calibri" w:hint="eastAsia"/>
          <w:b w:val="0"/>
          <w:color w:val="000000"/>
          <w:sz w:val="32"/>
          <w:szCs w:val="32"/>
        </w:rPr>
        <w:t>丽水市体育运动训练中心</w:t>
      </w:r>
      <w:r>
        <w:rPr>
          <w:rStyle w:val="a7"/>
          <w:rFonts w:ascii="黑体" w:eastAsia="黑体" w:hint="eastAsia"/>
          <w:b w:val="0"/>
          <w:color w:val="000000"/>
          <w:sz w:val="32"/>
          <w:szCs w:val="32"/>
        </w:rPr>
        <w:t>单位部门预算表</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单位收支预算总表</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单位收入预算总表</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单位支出预算总表</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单位财政拨款收支预算总表</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单位一般公共预算支出表</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单位一般公共预算基本支出表</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单位一般公共预算“三公”经费支出表</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单位政府性基金预算支出表</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单位国有资本经营预算支出表</w:t>
      </w:r>
    </w:p>
    <w:p w:rsidR="00745EE0" w:rsidRDefault="000553FC">
      <w:pPr>
        <w:autoSpaceDE w:val="0"/>
        <w:autoSpaceDN w:val="0"/>
        <w:adjustRightInd w:val="0"/>
        <w:spacing w:line="600" w:lineRule="exact"/>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（十）2023年市本</w:t>
      </w:r>
      <w:r>
        <w:rPr>
          <w:rFonts w:ascii="楷体_GB2312" w:eastAsia="楷体_GB2312" w:hAnsi="楷体_GB2312" w:cs="楷体_GB2312"/>
          <w:bCs/>
          <w:sz w:val="32"/>
          <w:szCs w:val="32"/>
          <w:lang w:val="en"/>
        </w:rPr>
        <w:t>级</w:t>
      </w:r>
      <w:r>
        <w:rPr>
          <w:rFonts w:ascii="楷体_GB2312" w:eastAsia="楷体_GB2312" w:hAnsi="楷体_GB2312" w:cs="楷体_GB2312" w:hint="eastAsia"/>
          <w:bCs/>
          <w:sz w:val="32"/>
          <w:szCs w:val="32"/>
        </w:rPr>
        <w:t>单位项目支出预算表</w:t>
      </w:r>
    </w:p>
    <w:p w:rsidR="00745EE0" w:rsidRDefault="00745EE0">
      <w:pPr>
        <w:spacing w:line="600" w:lineRule="exact"/>
        <w:ind w:firstLineChars="196" w:firstLine="627"/>
        <w:rPr>
          <w:rStyle w:val="a7"/>
          <w:rFonts w:ascii="黑体" w:eastAsia="黑体"/>
          <w:b w:val="0"/>
          <w:color w:val="000000"/>
          <w:sz w:val="32"/>
          <w:szCs w:val="32"/>
        </w:rPr>
      </w:pPr>
    </w:p>
    <w:p w:rsidR="00745EE0" w:rsidRDefault="00745EE0">
      <w:pPr>
        <w:pStyle w:val="Default"/>
        <w:spacing w:line="600" w:lineRule="exact"/>
        <w:rPr>
          <w:rStyle w:val="a7"/>
          <w:rFonts w:ascii="黑体" w:eastAsia="黑体" w:hint="default"/>
          <w:b w:val="0"/>
          <w:sz w:val="32"/>
          <w:szCs w:val="32"/>
        </w:rPr>
      </w:pPr>
    </w:p>
    <w:p w:rsidR="00745EE0" w:rsidRDefault="00745EE0">
      <w:pPr>
        <w:pStyle w:val="Default"/>
        <w:spacing w:line="600" w:lineRule="exact"/>
        <w:rPr>
          <w:rStyle w:val="a7"/>
          <w:rFonts w:ascii="黑体" w:eastAsia="黑体" w:hint="default"/>
          <w:b w:val="0"/>
          <w:sz w:val="32"/>
          <w:szCs w:val="32"/>
        </w:rPr>
      </w:pPr>
    </w:p>
    <w:p w:rsidR="00745EE0" w:rsidRDefault="00745EE0">
      <w:pPr>
        <w:pStyle w:val="Default"/>
        <w:spacing w:line="600" w:lineRule="exact"/>
        <w:rPr>
          <w:rStyle w:val="a7"/>
          <w:rFonts w:ascii="黑体" w:eastAsia="黑体" w:hint="default"/>
          <w:b w:val="0"/>
          <w:sz w:val="32"/>
          <w:szCs w:val="32"/>
        </w:rPr>
      </w:pPr>
    </w:p>
    <w:p w:rsidR="00745EE0" w:rsidRDefault="00745EE0">
      <w:pPr>
        <w:pStyle w:val="Default"/>
        <w:spacing w:line="600" w:lineRule="exact"/>
        <w:rPr>
          <w:rStyle w:val="a7"/>
          <w:rFonts w:ascii="黑体" w:eastAsia="黑体" w:hint="default"/>
          <w:b w:val="0"/>
          <w:sz w:val="32"/>
          <w:szCs w:val="32"/>
        </w:rPr>
      </w:pPr>
    </w:p>
    <w:p w:rsidR="00745EE0" w:rsidRDefault="00745EE0">
      <w:pPr>
        <w:pStyle w:val="Default"/>
        <w:spacing w:line="600" w:lineRule="exact"/>
        <w:rPr>
          <w:rStyle w:val="a7"/>
          <w:rFonts w:ascii="黑体" w:eastAsia="黑体" w:hint="default"/>
          <w:b w:val="0"/>
          <w:sz w:val="32"/>
          <w:szCs w:val="32"/>
        </w:rPr>
      </w:pPr>
    </w:p>
    <w:p w:rsidR="00745EE0" w:rsidRDefault="00745EE0">
      <w:pPr>
        <w:pStyle w:val="Default"/>
        <w:spacing w:line="600" w:lineRule="exact"/>
        <w:rPr>
          <w:rStyle w:val="a7"/>
          <w:rFonts w:ascii="黑体" w:eastAsia="黑体" w:hint="default"/>
          <w:b w:val="0"/>
          <w:sz w:val="32"/>
          <w:szCs w:val="32"/>
        </w:rPr>
      </w:pPr>
    </w:p>
    <w:p w:rsidR="00745EE0" w:rsidRDefault="00745EE0">
      <w:pPr>
        <w:pStyle w:val="Default"/>
        <w:spacing w:line="600" w:lineRule="exact"/>
        <w:rPr>
          <w:rStyle w:val="a7"/>
          <w:rFonts w:ascii="黑体" w:eastAsia="黑体" w:hint="default"/>
          <w:b w:val="0"/>
          <w:sz w:val="32"/>
          <w:szCs w:val="32"/>
        </w:rPr>
      </w:pPr>
    </w:p>
    <w:p w:rsidR="00745EE0" w:rsidRDefault="00745EE0">
      <w:pPr>
        <w:pStyle w:val="Default"/>
        <w:spacing w:line="600" w:lineRule="exact"/>
        <w:rPr>
          <w:rStyle w:val="a7"/>
          <w:rFonts w:ascii="黑体" w:eastAsia="黑体" w:hint="default"/>
          <w:b w:val="0"/>
          <w:sz w:val="32"/>
          <w:szCs w:val="32"/>
        </w:rPr>
      </w:pPr>
    </w:p>
    <w:p w:rsidR="00745EE0" w:rsidRDefault="00745EE0">
      <w:pPr>
        <w:pStyle w:val="Default"/>
        <w:spacing w:line="600" w:lineRule="exact"/>
        <w:rPr>
          <w:rStyle w:val="a7"/>
          <w:rFonts w:ascii="黑体" w:eastAsia="黑体" w:hint="default"/>
          <w:b w:val="0"/>
          <w:sz w:val="32"/>
          <w:szCs w:val="32"/>
        </w:rPr>
      </w:pPr>
    </w:p>
    <w:p w:rsidR="00745EE0" w:rsidRDefault="00745EE0">
      <w:pPr>
        <w:pStyle w:val="Default"/>
        <w:spacing w:line="600" w:lineRule="exact"/>
        <w:rPr>
          <w:rStyle w:val="a7"/>
          <w:rFonts w:ascii="黑体" w:eastAsia="黑体" w:hint="default"/>
          <w:b w:val="0"/>
          <w:sz w:val="32"/>
          <w:szCs w:val="32"/>
        </w:rPr>
      </w:pPr>
    </w:p>
    <w:p w:rsidR="00745EE0" w:rsidRDefault="000553FC">
      <w:pPr>
        <w:spacing w:line="560" w:lineRule="exact"/>
        <w:ind w:firstLineChars="196" w:firstLine="627"/>
        <w:rPr>
          <w:rStyle w:val="a7"/>
          <w:rFonts w:ascii="黑体" w:eastAsia="黑体"/>
          <w:b w:val="0"/>
          <w:color w:val="000000"/>
          <w:sz w:val="32"/>
          <w:szCs w:val="32"/>
        </w:rPr>
      </w:pPr>
      <w:r>
        <w:rPr>
          <w:rStyle w:val="a7"/>
          <w:rFonts w:ascii="黑体" w:eastAsia="黑体" w:hint="eastAsia"/>
          <w:b w:val="0"/>
          <w:color w:val="000000"/>
          <w:sz w:val="32"/>
          <w:szCs w:val="32"/>
        </w:rPr>
        <w:lastRenderedPageBreak/>
        <w:t>一、部门（单位）概况</w:t>
      </w:r>
    </w:p>
    <w:p w:rsidR="00745EE0" w:rsidRDefault="000553FC">
      <w:pPr>
        <w:spacing w:line="56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1.负责市本级青少年儿童业余体育训练、体育竞技等工作，为国家培养、输送具有良好思想品德、文化素质和体育特长的优秀体育后备人才。</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2.负责选拔、招收、引进运动员；承办组队参加省级及以上重大体育比赛。</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3.负责教练员聘任、管理、培养、考核及市本级运动队的训练、安全等管理工作。</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4.协助统筹、规划全市青少年儿童体育训练项目布局并对业</w:t>
      </w:r>
      <w:proofErr w:type="gramStart"/>
      <w:r>
        <w:rPr>
          <w:rFonts w:ascii="仿宋_GB2312" w:eastAsia="仿宋_GB2312" w:hAnsi="仿宋_GB2312" w:cs="仿宋_GB2312" w:hint="eastAsia"/>
          <w:sz w:val="32"/>
          <w:szCs w:val="32"/>
        </w:rPr>
        <w:t>训项目</w:t>
      </w:r>
      <w:proofErr w:type="gramEnd"/>
      <w:r>
        <w:rPr>
          <w:rFonts w:ascii="仿宋_GB2312" w:eastAsia="仿宋_GB2312" w:hAnsi="仿宋_GB2312" w:cs="仿宋_GB2312" w:hint="eastAsia"/>
          <w:sz w:val="32"/>
          <w:szCs w:val="32"/>
        </w:rPr>
        <w:t>进行业务指导，协助开展和监督体育训练、竞赛中的反兴奋剂工作。</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5.负责组织开展青少年儿童体育科研工作。</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6.承担市水上运动中心（基地）的管理、使用、维护工作。</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7.协助</w:t>
      </w:r>
      <w:proofErr w:type="gramStart"/>
      <w:r>
        <w:rPr>
          <w:rFonts w:ascii="仿宋_GB2312" w:eastAsia="仿宋_GB2312" w:hAnsi="仿宋_GB2312" w:cs="仿宋_GB2312" w:hint="eastAsia"/>
          <w:sz w:val="32"/>
          <w:szCs w:val="32"/>
        </w:rPr>
        <w:t>莲都区做好</w:t>
      </w:r>
      <w:proofErr w:type="gramEnd"/>
      <w:r>
        <w:rPr>
          <w:rFonts w:ascii="仿宋_GB2312" w:eastAsia="仿宋_GB2312" w:hAnsi="仿宋_GB2312" w:cs="仿宋_GB2312" w:hint="eastAsia"/>
          <w:sz w:val="32"/>
          <w:szCs w:val="32"/>
        </w:rPr>
        <w:t>青少年业余体育训练、竞赛工作。</w:t>
      </w:r>
    </w:p>
    <w:p w:rsidR="00745EE0" w:rsidRDefault="000553FC">
      <w:pPr>
        <w:spacing w:line="560" w:lineRule="exact"/>
        <w:ind w:firstLineChars="196" w:firstLine="627"/>
        <w:rPr>
          <w:rFonts w:eastAsia="仿宋_GB2312"/>
        </w:rPr>
      </w:pPr>
      <w:r>
        <w:rPr>
          <w:rFonts w:ascii="仿宋_GB2312" w:eastAsia="仿宋_GB2312" w:hAnsi="仿宋_GB2312" w:cs="仿宋_GB2312" w:hint="eastAsia"/>
          <w:sz w:val="32"/>
          <w:szCs w:val="32"/>
        </w:rPr>
        <w:t>8.完成市体育发展服务中心交办的其他任务。</w:t>
      </w:r>
    </w:p>
    <w:p w:rsidR="00745EE0" w:rsidRDefault="000553FC" w:rsidP="00E53029">
      <w:pPr>
        <w:spacing w:line="56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（二）部门（单位）机构设置情况</w:t>
      </w:r>
    </w:p>
    <w:p w:rsidR="00745EE0" w:rsidRDefault="000553FC">
      <w:pPr>
        <w:pStyle w:val="a6"/>
        <w:spacing w:before="0" w:beforeAutospacing="0" w:after="0" w:afterAutospacing="0" w:line="560" w:lineRule="exact"/>
        <w:ind w:firstLineChars="200" w:firstLine="640"/>
        <w:rPr>
          <w:rFonts w:ascii="仿宋_GB2312" w:eastAsia="仿宋_GB2312"/>
          <w:color w:val="000000"/>
          <w:kern w:val="2"/>
          <w:sz w:val="32"/>
          <w:szCs w:val="32"/>
        </w:rPr>
      </w:pPr>
      <w:r>
        <w:rPr>
          <w:rFonts w:ascii="仿宋_GB2312" w:eastAsia="仿宋_GB2312" w:hint="eastAsia"/>
          <w:color w:val="000000"/>
          <w:kern w:val="2"/>
          <w:sz w:val="32"/>
          <w:szCs w:val="32"/>
        </w:rPr>
        <w:t>从预算单位构成看，丽水市体育运动训练中心预算包括：中心本级预算、综合科、训练科、教务科、总务科和科研康复科等五个内设机构预算。</w:t>
      </w:r>
    </w:p>
    <w:p w:rsidR="00745EE0" w:rsidRDefault="000553FC" w:rsidP="00E53029">
      <w:pPr>
        <w:pStyle w:val="a6"/>
        <w:spacing w:before="0" w:beforeAutospacing="0" w:after="0" w:afterAutospacing="0" w:line="560" w:lineRule="exact"/>
        <w:ind w:firstLineChars="200" w:firstLine="643"/>
        <w:rPr>
          <w:rFonts w:ascii="仿宋_GB2312" w:eastAsia="仿宋_GB2312"/>
          <w:sz w:val="32"/>
          <w:szCs w:val="32"/>
        </w:rPr>
      </w:pPr>
      <w:r>
        <w:rPr>
          <w:rFonts w:ascii="仿宋_GB2312" w:eastAsia="仿宋_GB2312" w:hAnsi="微软雅黑" w:cs="Arial" w:hint="eastAsia"/>
          <w:b/>
          <w:bCs/>
          <w:color w:val="000000"/>
          <w:sz w:val="32"/>
          <w:szCs w:val="32"/>
        </w:rPr>
        <w:t>1.综合科。</w:t>
      </w:r>
      <w:r>
        <w:rPr>
          <w:rFonts w:ascii="仿宋_GB2312" w:eastAsia="仿宋_GB2312" w:hAnsi="微软雅黑" w:cs="Arial" w:hint="eastAsia"/>
          <w:color w:val="000000"/>
          <w:sz w:val="32"/>
          <w:szCs w:val="32"/>
        </w:rPr>
        <w:t>负责单位日常运转，承担文秘、信息、新闻宣传、政务公开、信访、会务、机要、党建、意识形态、维稳、保密、财务、内部审计、安全、档案、创建等工作；牵头协调和落实本单位重大综合性工作，组织起草综合性材料、重要文件；负责人</w:t>
      </w:r>
      <w:r>
        <w:rPr>
          <w:rFonts w:ascii="仿宋_GB2312" w:eastAsia="仿宋_GB2312" w:hAnsi="微软雅黑" w:cs="Arial" w:hint="eastAsia"/>
          <w:color w:val="000000"/>
          <w:sz w:val="32"/>
          <w:szCs w:val="32"/>
        </w:rPr>
        <w:lastRenderedPageBreak/>
        <w:t>事管理、工资调整、职称评定、奖励任免、工资晋升、教育培训、外事等工作;</w:t>
      </w:r>
      <w:r>
        <w:rPr>
          <w:rFonts w:ascii="仿宋_GB2312" w:eastAsia="仿宋_GB2312" w:hint="eastAsia"/>
          <w:sz w:val="32"/>
          <w:szCs w:val="32"/>
        </w:rPr>
        <w:t>负责牵头基地创评工作；完成中心（校）交办的其他任务。</w:t>
      </w:r>
    </w:p>
    <w:p w:rsidR="00745EE0" w:rsidRDefault="000553FC" w:rsidP="00E53029">
      <w:pPr>
        <w:pStyle w:val="a6"/>
        <w:spacing w:before="0" w:beforeAutospacing="0" w:after="0" w:afterAutospacing="0" w:line="560" w:lineRule="exact"/>
        <w:ind w:firstLineChars="200" w:firstLine="643"/>
        <w:rPr>
          <w:rFonts w:ascii="仿宋_GB2312" w:eastAsia="仿宋_GB2312"/>
          <w:sz w:val="32"/>
          <w:szCs w:val="32"/>
        </w:rPr>
      </w:pPr>
      <w:r>
        <w:rPr>
          <w:rFonts w:ascii="仿宋_GB2312" w:eastAsia="仿宋_GB2312" w:hAnsi="微软雅黑" w:cs="Arial" w:hint="eastAsia"/>
          <w:b/>
          <w:bCs/>
          <w:color w:val="000000"/>
          <w:sz w:val="32"/>
          <w:szCs w:val="32"/>
        </w:rPr>
        <w:t>2.训练科。</w:t>
      </w:r>
      <w:r>
        <w:rPr>
          <w:rFonts w:ascii="仿宋_GB2312" w:eastAsia="仿宋_GB2312" w:hAnsi="微软雅黑" w:cs="Arial" w:hint="eastAsia"/>
          <w:color w:val="000000"/>
          <w:sz w:val="32"/>
          <w:szCs w:val="32"/>
        </w:rPr>
        <w:t>负责各运动队训练、集训、组队、参赛等工作；负责运动员注册、等级审核、组织选拔、培养和输送等工作；负责丽水籍运动员参赛联系、成绩统计等工作；做好各运动队人才库管理工作；协助</w:t>
      </w:r>
      <w:proofErr w:type="gramStart"/>
      <w:r>
        <w:rPr>
          <w:rFonts w:ascii="仿宋_GB2312" w:eastAsia="仿宋_GB2312" w:hAnsi="微软雅黑" w:cs="Arial" w:hint="eastAsia"/>
          <w:color w:val="000000"/>
          <w:sz w:val="32"/>
          <w:szCs w:val="32"/>
        </w:rPr>
        <w:t>做好莲都区</w:t>
      </w:r>
      <w:proofErr w:type="gramEnd"/>
      <w:r>
        <w:rPr>
          <w:rFonts w:ascii="仿宋_GB2312" w:eastAsia="仿宋_GB2312" w:hAnsi="微软雅黑" w:cs="Arial" w:hint="eastAsia"/>
          <w:color w:val="000000"/>
          <w:sz w:val="32"/>
          <w:szCs w:val="32"/>
        </w:rPr>
        <w:t>青少年的组队参赛工作；</w:t>
      </w:r>
      <w:r>
        <w:rPr>
          <w:rFonts w:ascii="仿宋_GB2312" w:eastAsia="仿宋_GB2312" w:hint="eastAsia"/>
          <w:sz w:val="32"/>
          <w:szCs w:val="32"/>
        </w:rPr>
        <w:t xml:space="preserve">完成中心（校）交办的其他任务。 </w:t>
      </w:r>
    </w:p>
    <w:p w:rsidR="00745EE0" w:rsidRDefault="000553FC" w:rsidP="00E53029">
      <w:pPr>
        <w:pStyle w:val="a6"/>
        <w:spacing w:before="0" w:beforeAutospacing="0" w:after="0" w:afterAutospacing="0" w:line="560" w:lineRule="exact"/>
        <w:ind w:firstLineChars="200" w:firstLine="643"/>
        <w:rPr>
          <w:rFonts w:ascii="仿宋_GB2312" w:eastAsia="仿宋_GB2312" w:hAnsi="微软雅黑" w:cs="Arial"/>
          <w:color w:val="000000"/>
          <w:sz w:val="32"/>
          <w:szCs w:val="32"/>
        </w:rPr>
      </w:pPr>
      <w:r>
        <w:rPr>
          <w:rFonts w:ascii="仿宋_GB2312" w:eastAsia="仿宋_GB2312" w:hAnsi="微软雅黑" w:cs="Arial" w:hint="eastAsia"/>
          <w:b/>
          <w:bCs/>
          <w:color w:val="000000"/>
          <w:sz w:val="32"/>
          <w:szCs w:val="32"/>
        </w:rPr>
        <w:t>3.教务科。</w:t>
      </w:r>
      <w:r>
        <w:rPr>
          <w:rFonts w:ascii="仿宋_GB2312" w:eastAsia="仿宋_GB2312" w:hAnsi="微软雅黑" w:cs="Arial" w:hint="eastAsia"/>
          <w:color w:val="000000"/>
          <w:sz w:val="32"/>
          <w:szCs w:val="32"/>
        </w:rPr>
        <w:t>负责运动员招生、就读、学籍办理、入学、退学、升学等工作；负责管理运动员的技术档案、学籍、文化教育、思想教育等工作；负责与布局学校及运动员家长联络工作；负责运动员伙食补助的审核工作；负责上级下达的竞赛组织任务；负责市本级青少年俱乐部运作；</w:t>
      </w:r>
      <w:r>
        <w:rPr>
          <w:rFonts w:ascii="仿宋_GB2312" w:eastAsia="仿宋_GB2312" w:hint="eastAsia"/>
          <w:sz w:val="32"/>
          <w:szCs w:val="32"/>
        </w:rPr>
        <w:t>完成中心（校）交办的其他任务。</w:t>
      </w:r>
    </w:p>
    <w:p w:rsidR="00745EE0" w:rsidRDefault="000553FC" w:rsidP="00E53029">
      <w:pPr>
        <w:pStyle w:val="a6"/>
        <w:spacing w:before="0" w:beforeAutospacing="0" w:after="0" w:afterAutospacing="0" w:line="560" w:lineRule="exact"/>
        <w:ind w:firstLineChars="200" w:firstLine="643"/>
        <w:rPr>
          <w:rFonts w:ascii="仿宋_GB2312" w:eastAsia="仿宋_GB2312"/>
          <w:sz w:val="32"/>
          <w:szCs w:val="32"/>
        </w:rPr>
      </w:pPr>
      <w:r>
        <w:rPr>
          <w:rFonts w:ascii="仿宋_GB2312" w:eastAsia="仿宋_GB2312" w:hAnsi="微软雅黑" w:cs="Arial" w:hint="eastAsia"/>
          <w:b/>
          <w:bCs/>
          <w:color w:val="000000"/>
          <w:sz w:val="32"/>
          <w:szCs w:val="32"/>
        </w:rPr>
        <w:t>4.总务科。</w:t>
      </w:r>
      <w:r>
        <w:rPr>
          <w:rFonts w:ascii="仿宋_GB2312" w:eastAsia="仿宋_GB2312" w:hAnsi="微软雅黑" w:cs="Arial" w:hint="eastAsia"/>
          <w:color w:val="000000"/>
          <w:sz w:val="32"/>
          <w:szCs w:val="32"/>
        </w:rPr>
        <w:t>负责办公及训练场地管理维护、物业、安保及基础建设等工作；负责各类运动器械、服装等大宗物品的采购等工作；负责各类固定资产管理、登记、报废等工作；负责市少体校及布局学校训练场地联络与管理工作；负责单位各类招标等工作；负责仓库管理及办理进出库手续工作；负责运动员生活后勤管理工作；负责日常用品采购及水、电、卫生等管理工作；</w:t>
      </w:r>
      <w:r>
        <w:rPr>
          <w:rFonts w:ascii="仿宋_GB2312" w:eastAsia="仿宋_GB2312" w:hint="eastAsia"/>
          <w:sz w:val="32"/>
          <w:szCs w:val="32"/>
        </w:rPr>
        <w:t>完成中心（校）交办的其他任务。</w:t>
      </w:r>
    </w:p>
    <w:p w:rsidR="00745EE0" w:rsidRDefault="000553FC" w:rsidP="00E53029">
      <w:pPr>
        <w:pStyle w:val="a6"/>
        <w:spacing w:before="0" w:beforeAutospacing="0" w:after="0" w:afterAutospacing="0" w:line="560" w:lineRule="exact"/>
        <w:ind w:firstLineChars="200" w:firstLine="643"/>
        <w:rPr>
          <w:rFonts w:ascii="仿宋_GB2312" w:eastAsia="仿宋_GB2312"/>
          <w:sz w:val="32"/>
          <w:szCs w:val="32"/>
        </w:rPr>
      </w:pPr>
      <w:r>
        <w:rPr>
          <w:rFonts w:ascii="仿宋_GB2312" w:eastAsia="仿宋_GB2312" w:hAnsi="微软雅黑" w:cs="Arial" w:hint="eastAsia"/>
          <w:b/>
          <w:bCs/>
          <w:color w:val="000000"/>
          <w:sz w:val="32"/>
          <w:szCs w:val="32"/>
        </w:rPr>
        <w:t>5.科研康复科。</w:t>
      </w:r>
      <w:r>
        <w:rPr>
          <w:rFonts w:ascii="仿宋_GB2312" w:eastAsia="仿宋_GB2312" w:hAnsi="微软雅黑" w:cs="Arial" w:hint="eastAsia"/>
          <w:color w:val="000000"/>
          <w:sz w:val="32"/>
          <w:szCs w:val="32"/>
        </w:rPr>
        <w:t>负责反兴奋剂管理、宣传、预防及监控等工作；负责运动员保险管理、伤病康复、营养指导、疾病预防、寝室卫生、饮食安全、药品管理、健康宣传等工作；负责各运动队科研指导、体能训练、大纲考核、营养品和药品采购计划制定等</w:t>
      </w:r>
      <w:r>
        <w:rPr>
          <w:rFonts w:ascii="仿宋_GB2312" w:eastAsia="仿宋_GB2312" w:hAnsi="微软雅黑" w:cs="Arial" w:hint="eastAsia"/>
          <w:color w:val="000000"/>
          <w:sz w:val="32"/>
          <w:szCs w:val="32"/>
        </w:rPr>
        <w:lastRenderedPageBreak/>
        <w:t>工作；负责招生体检审核、教职工及运动员体检等工作；负责运动员突发性损伤跟踪、后续处理、各项善后等工作；</w:t>
      </w:r>
      <w:r>
        <w:rPr>
          <w:rFonts w:ascii="仿宋_GB2312" w:eastAsia="仿宋_GB2312" w:hint="eastAsia"/>
          <w:sz w:val="32"/>
          <w:szCs w:val="32"/>
        </w:rPr>
        <w:t>完成中心（校）交办的其他任务。</w:t>
      </w:r>
    </w:p>
    <w:p w:rsidR="00745EE0" w:rsidRDefault="000553FC">
      <w:pPr>
        <w:pStyle w:val="a6"/>
        <w:spacing w:before="0" w:beforeAutospacing="0" w:after="0" w:afterAutospacing="0" w:line="560" w:lineRule="exact"/>
        <w:ind w:firstLineChars="200" w:firstLine="640"/>
        <w:rPr>
          <w:rStyle w:val="a7"/>
          <w:rFonts w:ascii="黑体" w:eastAsia="黑体"/>
          <w:b w:val="0"/>
          <w:color w:val="000000"/>
          <w:sz w:val="32"/>
          <w:szCs w:val="32"/>
        </w:rPr>
      </w:pPr>
      <w:r>
        <w:rPr>
          <w:rStyle w:val="a7"/>
          <w:rFonts w:ascii="黑体" w:eastAsia="黑体" w:hint="eastAsia"/>
          <w:b w:val="0"/>
          <w:color w:val="000000"/>
          <w:sz w:val="32"/>
          <w:szCs w:val="32"/>
        </w:rPr>
        <w:t>二、2023年</w:t>
      </w:r>
      <w:r>
        <w:rPr>
          <w:rStyle w:val="a7"/>
          <w:rFonts w:ascii="黑体" w:eastAsia="黑体" w:hAnsi="Calibri" w:hint="eastAsia"/>
          <w:b w:val="0"/>
          <w:color w:val="000000"/>
          <w:sz w:val="32"/>
          <w:szCs w:val="32"/>
        </w:rPr>
        <w:t>丽水市体育运动训练中心</w:t>
      </w:r>
      <w:r>
        <w:rPr>
          <w:rStyle w:val="a7"/>
          <w:rFonts w:ascii="黑体" w:eastAsia="黑体" w:hint="eastAsia"/>
          <w:b w:val="0"/>
          <w:color w:val="000000"/>
          <w:sz w:val="32"/>
          <w:szCs w:val="32"/>
        </w:rPr>
        <w:t>单位预算安排情况说明</w:t>
      </w:r>
    </w:p>
    <w:p w:rsidR="00745EE0" w:rsidRDefault="000553FC">
      <w:pPr>
        <w:pStyle w:val="a6"/>
        <w:spacing w:before="0" w:beforeAutospacing="0" w:after="0" w:afterAutospacing="0" w:line="560" w:lineRule="exact"/>
        <w:ind w:firstLineChars="200" w:firstLine="640"/>
        <w:rPr>
          <w:rFonts w:ascii="仿宋_GB2312" w:eastAsia="仿宋_GB2312"/>
          <w:sz w:val="32"/>
          <w:szCs w:val="32"/>
        </w:rPr>
      </w:pPr>
      <w:r>
        <w:rPr>
          <w:rFonts w:ascii="楷体_GB2312" w:eastAsia="楷体_GB2312" w:hAnsi="楷体_GB2312" w:cs="楷体_GB2312" w:hint="eastAsia"/>
          <w:color w:val="000000"/>
          <w:sz w:val="32"/>
          <w:szCs w:val="32"/>
        </w:rPr>
        <w:t>（一）关于</w:t>
      </w:r>
      <w:r>
        <w:rPr>
          <w:rStyle w:val="a7"/>
          <w:rFonts w:ascii="楷体_GB2312" w:eastAsia="楷体_GB2312" w:hAnsi="楷体_GB2312" w:cs="楷体_GB2312" w:hint="eastAsia"/>
          <w:b w:val="0"/>
          <w:bCs w:val="0"/>
          <w:color w:val="000000"/>
          <w:sz w:val="32"/>
          <w:szCs w:val="32"/>
        </w:rPr>
        <w:t>丽水市体育运动训练中心2023年收支预算情况的总体说明</w:t>
      </w:r>
    </w:p>
    <w:p w:rsidR="00745EE0" w:rsidRDefault="000553FC" w:rsidP="00E53029">
      <w:pPr>
        <w:spacing w:line="560" w:lineRule="exact"/>
        <w:ind w:firstLineChars="100" w:firstLine="321"/>
        <w:rPr>
          <w:rFonts w:ascii="楷体_GB2312" w:eastAsia="楷体_GB2312" w:hAnsi="楷体_GB2312" w:cs="楷体_GB2312"/>
          <w:b/>
          <w:sz w:val="32"/>
          <w:szCs w:val="32"/>
        </w:rPr>
      </w:pPr>
      <w:r>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按照</w:t>
      </w:r>
      <w:r>
        <w:rPr>
          <w:rFonts w:ascii="仿宋_GB2312" w:eastAsia="仿宋_GB2312" w:hint="eastAsia"/>
          <w:bCs/>
          <w:sz w:val="32"/>
          <w:szCs w:val="32"/>
        </w:rPr>
        <w:t>综合预算的原则，</w:t>
      </w:r>
      <w:r>
        <w:rPr>
          <w:rFonts w:ascii="仿宋_GB2312" w:eastAsia="仿宋_GB2312" w:hAnsi="仿宋_GB2312" w:cs="仿宋_GB2312" w:hint="eastAsia"/>
          <w:bCs/>
          <w:spacing w:val="15"/>
          <w:sz w:val="32"/>
          <w:szCs w:val="32"/>
        </w:rPr>
        <w:t>丽水市体育运动训练中心</w:t>
      </w:r>
      <w:r>
        <w:rPr>
          <w:rFonts w:ascii="仿宋_GB2312" w:eastAsia="仿宋_GB2312" w:hint="eastAsia"/>
          <w:color w:val="000000"/>
          <w:sz w:val="32"/>
          <w:szCs w:val="32"/>
        </w:rPr>
        <w:t>所有收入和支出均纳入单位预算管理。收入包括：一般公共预算拨款收入、政府性基金预算收入、上年结转结余；支出包括：文化旅游体育与传媒支出、社会保障和就业支出、卫生健康支出、其他支出。</w:t>
      </w:r>
      <w:r>
        <w:rPr>
          <w:rFonts w:ascii="仿宋_GB2312" w:eastAsia="仿宋_GB2312" w:hAnsi="仿宋_GB2312" w:cs="仿宋_GB2312" w:hint="eastAsia"/>
          <w:bCs/>
          <w:spacing w:val="15"/>
          <w:sz w:val="32"/>
          <w:szCs w:val="32"/>
        </w:rPr>
        <w:t>丽水市体育运动训练中心</w:t>
      </w:r>
      <w:r>
        <w:rPr>
          <w:rFonts w:ascii="仿宋_GB2312" w:eastAsia="仿宋_GB2312" w:hint="eastAsia"/>
          <w:color w:val="000000"/>
          <w:sz w:val="32"/>
          <w:szCs w:val="32"/>
        </w:rPr>
        <w:t>2023年收支总预算1745.47万元</w:t>
      </w:r>
      <w:r>
        <w:rPr>
          <w:rFonts w:ascii="仿宋_GB2312" w:eastAsia="仿宋_GB2312" w:hint="eastAsia"/>
          <w:sz w:val="32"/>
          <w:szCs w:val="32"/>
        </w:rPr>
        <w:t>。</w:t>
      </w:r>
    </w:p>
    <w:p w:rsidR="00745EE0" w:rsidRDefault="000553FC">
      <w:pPr>
        <w:spacing w:line="560" w:lineRule="exact"/>
        <w:ind w:firstLine="642"/>
        <w:rPr>
          <w:rFonts w:ascii="仿宋_GB2312" w:eastAsia="仿宋_GB2312"/>
          <w:color w:val="000000"/>
          <w:sz w:val="32"/>
          <w:szCs w:val="32"/>
        </w:rPr>
      </w:pPr>
      <w:r>
        <w:rPr>
          <w:rFonts w:ascii="楷体_GB2312" w:eastAsia="楷体_GB2312" w:hAnsi="楷体_GB2312" w:cs="楷体_GB2312" w:hint="eastAsia"/>
          <w:bCs/>
          <w:color w:val="000000"/>
          <w:sz w:val="32"/>
          <w:szCs w:val="32"/>
        </w:rPr>
        <w:t>（二）关于</w:t>
      </w:r>
      <w:r>
        <w:rPr>
          <w:rFonts w:ascii="仿宋_GB2312" w:eastAsia="仿宋_GB2312" w:hAnsi="仿宋_GB2312" w:cs="仿宋_GB2312" w:hint="eastAsia"/>
          <w:bCs/>
          <w:spacing w:val="15"/>
          <w:sz w:val="32"/>
          <w:szCs w:val="32"/>
        </w:rPr>
        <w:t>丽水市体育运动训练中心</w:t>
      </w:r>
      <w:r>
        <w:rPr>
          <w:rFonts w:ascii="楷体_GB2312" w:eastAsia="楷体_GB2312" w:hAnsi="楷体_GB2312" w:cs="楷体_GB2312" w:hint="eastAsia"/>
          <w:bCs/>
          <w:color w:val="000000"/>
          <w:sz w:val="32"/>
          <w:szCs w:val="32"/>
        </w:rPr>
        <w:t>2023年收入预算情况说明</w:t>
      </w:r>
      <w:r>
        <w:rPr>
          <w:rFonts w:ascii="仿宋_GB2312" w:eastAsia="仿宋_GB2312"/>
          <w:color w:val="000000"/>
          <w:sz w:val="32"/>
          <w:szCs w:val="32"/>
        </w:rPr>
        <w:t xml:space="preserve">  </w:t>
      </w:r>
    </w:p>
    <w:p w:rsidR="00745EE0" w:rsidRDefault="000553FC" w:rsidP="00E53029">
      <w:pPr>
        <w:spacing w:line="560" w:lineRule="exact"/>
        <w:ind w:firstLineChars="100" w:firstLine="320"/>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丽水市体育运动训练中心2023年收入预算1745.47万元，比上年执行数增加</w:t>
      </w:r>
      <w:r>
        <w:rPr>
          <w:rFonts w:ascii="仿宋_GB2312" w:eastAsia="仿宋_GB2312"/>
          <w:color w:val="000000"/>
          <w:sz w:val="32"/>
          <w:szCs w:val="32"/>
        </w:rPr>
        <w:t>504.49</w:t>
      </w:r>
      <w:r>
        <w:rPr>
          <w:rFonts w:ascii="仿宋_GB2312" w:eastAsia="仿宋_GB2312" w:hint="eastAsia"/>
          <w:color w:val="000000"/>
          <w:sz w:val="32"/>
          <w:szCs w:val="32"/>
        </w:rPr>
        <w:t>万元，增长</w:t>
      </w:r>
      <w:r>
        <w:rPr>
          <w:rFonts w:ascii="仿宋_GB2312" w:eastAsia="仿宋_GB2312"/>
          <w:color w:val="000000"/>
          <w:sz w:val="32"/>
          <w:szCs w:val="32"/>
        </w:rPr>
        <w:t>40.7</w:t>
      </w:r>
      <w:r>
        <w:rPr>
          <w:rFonts w:ascii="仿宋_GB2312" w:eastAsia="仿宋_GB2312" w:hint="eastAsia"/>
          <w:color w:val="000000"/>
          <w:sz w:val="32"/>
          <w:szCs w:val="32"/>
        </w:rPr>
        <w:t>%，主要是2023年丽水市水上运动训练中心投入使用，需购置大量专业运动器材。</w:t>
      </w:r>
      <w:r>
        <w:rPr>
          <w:rFonts w:ascii="仿宋_GB2312" w:eastAsia="仿宋_GB2312"/>
          <w:color w:val="000000"/>
          <w:sz w:val="32"/>
          <w:szCs w:val="32"/>
        </w:rPr>
        <w:br/>
      </w:r>
      <w:r w:rsidR="00E53029">
        <w:rPr>
          <w:rFonts w:ascii="仿宋_GB2312" w:eastAsia="仿宋_GB2312" w:hint="eastAsia"/>
          <w:color w:val="000000"/>
          <w:sz w:val="32"/>
          <w:szCs w:val="32"/>
        </w:rPr>
        <w:t xml:space="preserve">   </w:t>
      </w:r>
      <w:r>
        <w:rPr>
          <w:rFonts w:ascii="仿宋_GB2312" w:eastAsia="仿宋_GB2312"/>
          <w:color w:val="000000"/>
          <w:sz w:val="32"/>
          <w:szCs w:val="32"/>
        </w:rPr>
        <w:t>其中：一般公共预算拨款收入600.43万元</w:t>
      </w:r>
      <w:r w:rsidR="00E53029">
        <w:rPr>
          <w:rFonts w:ascii="仿宋_GB2312" w:eastAsia="仿宋_GB2312" w:hint="eastAsia"/>
          <w:color w:val="000000"/>
          <w:sz w:val="32"/>
          <w:szCs w:val="32"/>
        </w:rPr>
        <w:t>(上年结转0万元)</w:t>
      </w:r>
      <w:r>
        <w:rPr>
          <w:rFonts w:ascii="仿宋_GB2312" w:eastAsia="仿宋_GB2312"/>
          <w:color w:val="000000"/>
          <w:sz w:val="32"/>
          <w:szCs w:val="32"/>
        </w:rPr>
        <w:t>，占34.4%；政府性基金收入1145.04万元（上年结转60.04万元），占65.6%；</w:t>
      </w:r>
    </w:p>
    <w:p w:rsidR="00745EE0" w:rsidRDefault="000553FC">
      <w:pPr>
        <w:spacing w:line="560" w:lineRule="exact"/>
        <w:ind w:firstLine="642"/>
        <w:rPr>
          <w:rFonts w:ascii="仿宋_GB2312" w:eastAsia="仿宋_GB2312"/>
          <w:sz w:val="32"/>
          <w:szCs w:val="32"/>
        </w:rPr>
      </w:pPr>
      <w:r>
        <w:rPr>
          <w:rFonts w:ascii="楷体_GB2312" w:eastAsia="楷体_GB2312" w:hAnsi="楷体_GB2312" w:cs="楷体_GB2312" w:hint="eastAsia"/>
          <w:bCs/>
          <w:color w:val="000000"/>
          <w:sz w:val="32"/>
          <w:szCs w:val="32"/>
        </w:rPr>
        <w:t>（三）关于</w:t>
      </w:r>
      <w:r>
        <w:rPr>
          <w:rFonts w:ascii="仿宋_GB2312" w:eastAsia="仿宋_GB2312" w:hAnsi="仿宋_GB2312" w:cs="仿宋_GB2312" w:hint="eastAsia"/>
          <w:bCs/>
          <w:spacing w:val="15"/>
          <w:sz w:val="32"/>
          <w:szCs w:val="32"/>
        </w:rPr>
        <w:t>丽水市体育运动训练中心</w:t>
      </w:r>
      <w:r>
        <w:rPr>
          <w:rFonts w:ascii="楷体_GB2312" w:eastAsia="楷体_GB2312" w:hAnsi="楷体_GB2312" w:cs="楷体_GB2312" w:hint="eastAsia"/>
          <w:bCs/>
          <w:color w:val="000000"/>
          <w:sz w:val="32"/>
          <w:szCs w:val="32"/>
        </w:rPr>
        <w:t>2023年支出预算情况说明</w:t>
      </w:r>
      <w:r>
        <w:rPr>
          <w:rFonts w:ascii="楷体_GB2312" w:eastAsia="楷体_GB2312" w:hAnsi="楷体_GB2312" w:cs="楷体_GB2312" w:hint="eastAsia"/>
          <w:bCs/>
          <w:color w:val="000000"/>
          <w:sz w:val="32"/>
          <w:szCs w:val="32"/>
        </w:rPr>
        <w:br/>
      </w: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Cs/>
          <w:spacing w:val="15"/>
          <w:sz w:val="32"/>
          <w:szCs w:val="32"/>
        </w:rPr>
        <w:t>丽水市体育运动训练中心</w:t>
      </w:r>
      <w:r>
        <w:rPr>
          <w:rFonts w:ascii="仿宋_GB2312" w:eastAsia="仿宋_GB2312" w:hAnsi="仿宋_GB2312" w:cs="仿宋_GB2312" w:hint="eastAsia"/>
          <w:color w:val="000000"/>
          <w:sz w:val="32"/>
          <w:szCs w:val="32"/>
        </w:rPr>
        <w:t>2023年支出预算1745.47万元，</w:t>
      </w:r>
      <w:r>
        <w:rPr>
          <w:rFonts w:ascii="仿宋_GB2312" w:eastAsia="仿宋_GB2312" w:hAnsi="仿宋_GB2312" w:cs="仿宋_GB2312" w:hint="eastAsia"/>
          <w:sz w:val="32"/>
          <w:szCs w:val="32"/>
        </w:rPr>
        <w:t>比上年执行数增加504.49万元，</w:t>
      </w:r>
      <w:r>
        <w:rPr>
          <w:rFonts w:ascii="仿宋_GB2312" w:eastAsia="仿宋_GB2312" w:hAnsi="仿宋_GB2312" w:cs="仿宋_GB2312" w:hint="eastAsia"/>
          <w:sz w:val="32"/>
        </w:rPr>
        <w:t>增长40.7%，</w:t>
      </w:r>
      <w:r>
        <w:rPr>
          <w:rFonts w:ascii="仿宋_GB2312" w:eastAsia="仿宋_GB2312" w:hAnsi="仿宋_GB2312" w:cs="仿宋_GB2312" w:hint="eastAsia"/>
          <w:sz w:val="32"/>
          <w:szCs w:val="32"/>
        </w:rPr>
        <w:t>主要是2023年丽水市水上运动训练中心投入使用，需购置大量专业运动器材。</w:t>
      </w:r>
    </w:p>
    <w:p w:rsidR="00745EE0" w:rsidRDefault="000553FC">
      <w:pPr>
        <w:spacing w:line="560" w:lineRule="exact"/>
        <w:ind w:firstLine="630"/>
        <w:rPr>
          <w:rFonts w:ascii="仿宋_GB2312" w:eastAsia="仿宋_GB2312"/>
          <w:color w:val="000000"/>
          <w:sz w:val="32"/>
          <w:szCs w:val="32"/>
        </w:rPr>
      </w:pPr>
      <w:r>
        <w:rPr>
          <w:rFonts w:ascii="仿宋_GB2312" w:eastAsia="仿宋_GB2312" w:hint="eastAsia"/>
          <w:color w:val="000000"/>
          <w:sz w:val="32"/>
          <w:szCs w:val="32"/>
        </w:rPr>
        <w:lastRenderedPageBreak/>
        <w:t>1.按支出功能分类，包括文化旅游体育与传媒支出528.86万元、社会保障和就业支出40.88万元、卫生健康支出30.69万元、其他支出1145.04万元。</w:t>
      </w:r>
    </w:p>
    <w:p w:rsidR="00745EE0" w:rsidRDefault="000553FC">
      <w:pPr>
        <w:spacing w:line="560" w:lineRule="exact"/>
        <w:ind w:firstLine="642"/>
        <w:rPr>
          <w:rFonts w:ascii="仿宋_GB2312" w:eastAsia="仿宋_GB2312"/>
          <w:color w:val="000000"/>
          <w:sz w:val="32"/>
          <w:szCs w:val="32"/>
        </w:rPr>
      </w:pPr>
      <w:r>
        <w:rPr>
          <w:rFonts w:ascii="仿宋_GB2312" w:eastAsia="仿宋_GB2312" w:hint="eastAsia"/>
          <w:color w:val="000000"/>
          <w:sz w:val="32"/>
          <w:szCs w:val="32"/>
        </w:rPr>
        <w:t>2.按支出用途分类，包括人员支出485.73万元，占27.8%；日常公用支出114.71万元，占6.6%；项目支出1145.04万元，占65.6%。</w:t>
      </w:r>
    </w:p>
    <w:p w:rsidR="00745EE0" w:rsidRDefault="000553FC">
      <w:pPr>
        <w:spacing w:line="560" w:lineRule="exact"/>
        <w:ind w:firstLine="642"/>
        <w:rPr>
          <w:rFonts w:ascii="仿宋_GB2312" w:eastAsia="仿宋_GB2312"/>
          <w:color w:val="000000"/>
          <w:sz w:val="32"/>
          <w:szCs w:val="32"/>
        </w:rPr>
      </w:pPr>
      <w:r>
        <w:rPr>
          <w:rFonts w:ascii="仿宋_GB2312" w:eastAsia="仿宋_GB2312" w:hint="eastAsia"/>
          <w:color w:val="000000"/>
          <w:sz w:val="32"/>
          <w:szCs w:val="32"/>
        </w:rPr>
        <w:t>结转下年0万元。</w:t>
      </w:r>
    </w:p>
    <w:p w:rsidR="00745EE0" w:rsidRDefault="000553FC">
      <w:pPr>
        <w:spacing w:line="56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（四）关于</w:t>
      </w:r>
      <w:r>
        <w:rPr>
          <w:rFonts w:ascii="仿宋_GB2312" w:eastAsia="仿宋_GB2312" w:hAnsi="仿宋_GB2312" w:cs="仿宋_GB2312" w:hint="eastAsia"/>
          <w:bCs/>
          <w:spacing w:val="15"/>
          <w:sz w:val="32"/>
          <w:szCs w:val="32"/>
        </w:rPr>
        <w:t>丽水市体育运动训练中心</w:t>
      </w:r>
      <w:r>
        <w:rPr>
          <w:rFonts w:ascii="楷体_GB2312" w:eastAsia="楷体_GB2312" w:hAnsi="楷体_GB2312" w:cs="楷体_GB2312" w:hint="eastAsia"/>
          <w:bCs/>
          <w:color w:val="000000"/>
          <w:sz w:val="32"/>
          <w:szCs w:val="32"/>
        </w:rPr>
        <w:t>2023年财政拨款收支预算情况的总体说明</w:t>
      </w:r>
    </w:p>
    <w:p w:rsidR="00745EE0" w:rsidRDefault="000553FC">
      <w:pPr>
        <w:spacing w:line="560" w:lineRule="exact"/>
        <w:ind w:firstLine="640"/>
        <w:rPr>
          <w:rFonts w:ascii="仿宋_GB2312" w:eastAsia="仿宋_GB2312"/>
          <w:color w:val="000000"/>
          <w:sz w:val="32"/>
          <w:szCs w:val="32"/>
        </w:rPr>
      </w:pPr>
      <w:r>
        <w:rPr>
          <w:rFonts w:ascii="仿宋_GB2312" w:eastAsia="仿宋_GB2312" w:hAnsi="仿宋_GB2312" w:cs="仿宋_GB2312" w:hint="eastAsia"/>
          <w:bCs/>
          <w:spacing w:val="15"/>
          <w:sz w:val="32"/>
          <w:szCs w:val="32"/>
        </w:rPr>
        <w:t>丽水市体育运动训练中心</w:t>
      </w:r>
      <w:r>
        <w:rPr>
          <w:rFonts w:ascii="仿宋_GB2312" w:eastAsia="仿宋_GB2312" w:hint="eastAsia"/>
          <w:color w:val="000000"/>
          <w:sz w:val="32"/>
          <w:szCs w:val="32"/>
        </w:rPr>
        <w:t>2023年财政拨款收支总预算1745.47万元。收入包括：一般公共预算600.43万元、政府性基金1145.04万元；支出包括：文化旅游体育与传媒支出528.86万元、社会保障和就业支出40.88万元、卫生健康支出30.69万元、其他支出1145.04万元。</w:t>
      </w:r>
    </w:p>
    <w:p w:rsidR="00745EE0" w:rsidRDefault="000553FC">
      <w:pPr>
        <w:spacing w:line="56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（五）关于</w:t>
      </w:r>
      <w:r>
        <w:rPr>
          <w:rFonts w:ascii="仿宋_GB2312" w:eastAsia="仿宋_GB2312" w:hAnsi="仿宋_GB2312" w:cs="仿宋_GB2312" w:hint="eastAsia"/>
          <w:bCs/>
          <w:spacing w:val="15"/>
          <w:sz w:val="32"/>
          <w:szCs w:val="32"/>
        </w:rPr>
        <w:t>丽水市体育运动训练中心</w:t>
      </w:r>
      <w:r>
        <w:rPr>
          <w:rFonts w:ascii="楷体_GB2312" w:eastAsia="楷体_GB2312" w:hAnsi="楷体_GB2312" w:cs="楷体_GB2312" w:hint="eastAsia"/>
          <w:bCs/>
          <w:color w:val="000000"/>
          <w:sz w:val="32"/>
          <w:szCs w:val="32"/>
        </w:rPr>
        <w:t>2023年一般公共预算当年拨款情况说明</w:t>
      </w:r>
    </w:p>
    <w:p w:rsidR="00745EE0" w:rsidRDefault="000553FC">
      <w:pPr>
        <w:spacing w:line="56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745EE0" w:rsidRDefault="000553FC">
      <w:pPr>
        <w:spacing w:line="560" w:lineRule="exact"/>
        <w:ind w:firstLine="642"/>
        <w:rPr>
          <w:rFonts w:ascii="仿宋_GB2312" w:eastAsia="仿宋_GB2312" w:hAnsi="仿宋_GB2312" w:cs="仿宋_GB2312"/>
          <w:color w:val="FF0000"/>
          <w:sz w:val="32"/>
          <w:szCs w:val="32"/>
        </w:rPr>
      </w:pPr>
      <w:r>
        <w:rPr>
          <w:rFonts w:ascii="仿宋_GB2312" w:eastAsia="仿宋_GB2312" w:hAnsi="仿宋_GB2312" w:cs="仿宋_GB2312" w:hint="eastAsia"/>
          <w:bCs/>
          <w:spacing w:val="15"/>
          <w:sz w:val="32"/>
          <w:szCs w:val="32"/>
        </w:rPr>
        <w:t>丽水市体育运动训练中心</w:t>
      </w:r>
      <w:r>
        <w:rPr>
          <w:rFonts w:ascii="仿宋_GB2312" w:eastAsia="仿宋_GB2312" w:hAnsi="仿宋_GB2312" w:cs="仿宋_GB2312" w:hint="eastAsia"/>
          <w:color w:val="000000"/>
          <w:sz w:val="32"/>
          <w:szCs w:val="32"/>
        </w:rPr>
        <w:t>2023年一般公共预算当年拨款600.43万元，</w:t>
      </w:r>
      <w:r>
        <w:rPr>
          <w:rFonts w:ascii="仿宋_GB2312" w:eastAsia="仿宋_GB2312" w:hAnsi="仿宋_GB2312" w:cs="仿宋_GB2312" w:hint="eastAsia"/>
          <w:sz w:val="32"/>
          <w:szCs w:val="32"/>
        </w:rPr>
        <w:t>比上年执行数减少49.12万元，下</w:t>
      </w:r>
      <w:r>
        <w:rPr>
          <w:rFonts w:ascii="仿宋_GB2312" w:eastAsia="仿宋_GB2312" w:hAnsi="仿宋_GB2312" w:cs="仿宋_GB2312" w:hint="eastAsia"/>
          <w:sz w:val="32"/>
        </w:rPr>
        <w:t>降7.6%，</w:t>
      </w:r>
      <w:r>
        <w:rPr>
          <w:rFonts w:ascii="仿宋_GB2312" w:eastAsia="仿宋_GB2312" w:hAnsi="仿宋_GB2312" w:cs="仿宋_GB2312" w:hint="eastAsia"/>
          <w:sz w:val="32"/>
          <w:szCs w:val="32"/>
        </w:rPr>
        <w:t>主要是在职人员退休，人员经费减少。</w:t>
      </w:r>
    </w:p>
    <w:p w:rsidR="00745EE0" w:rsidRDefault="000553FC">
      <w:pPr>
        <w:spacing w:line="56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rsidR="00745EE0" w:rsidRDefault="000553FC">
      <w:pPr>
        <w:spacing w:line="56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文化旅游体育与传媒（类）支出528.86万元，占88.1%；社会保障和就业（类）支出40.88万元，占6.8%；卫生健康（类）支出30.69万元，占5.1%。</w:t>
      </w:r>
    </w:p>
    <w:p w:rsidR="00745EE0" w:rsidRDefault="000553FC">
      <w:pPr>
        <w:spacing w:line="56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3.一般公共预算当年拨款具体使用情况。</w:t>
      </w:r>
    </w:p>
    <w:p w:rsidR="00745EE0" w:rsidRDefault="000553FC">
      <w:pPr>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w:t>
      </w:r>
      <w:r>
        <w:rPr>
          <w:rFonts w:ascii="仿宋_GB2312" w:eastAsia="仿宋_GB2312" w:hint="eastAsia"/>
          <w:color w:val="000000"/>
          <w:sz w:val="32"/>
          <w:szCs w:val="32"/>
        </w:rPr>
        <w:t>文化旅游体育与传媒支出</w:t>
      </w:r>
      <w:r>
        <w:rPr>
          <w:rFonts w:ascii="仿宋_GB2312" w:eastAsia="仿宋_GB2312" w:hAnsi="宋体" w:cs="宋体" w:hint="eastAsia"/>
          <w:sz w:val="32"/>
          <w:szCs w:val="32"/>
        </w:rPr>
        <w:t>（类）体育（款）</w:t>
      </w:r>
      <w:r>
        <w:rPr>
          <w:rFonts w:ascii="仿宋_GB2312" w:eastAsia="仿宋_GB2312" w:hint="eastAsia"/>
          <w:color w:val="000000"/>
          <w:sz w:val="32"/>
          <w:szCs w:val="32"/>
        </w:rPr>
        <w:t>体育训练</w:t>
      </w:r>
      <w:r>
        <w:rPr>
          <w:rFonts w:ascii="仿宋_GB2312" w:eastAsia="仿宋_GB2312" w:hAnsi="宋体" w:cs="宋体" w:hint="eastAsia"/>
          <w:sz w:val="32"/>
          <w:szCs w:val="32"/>
        </w:rPr>
        <w:t>（项）</w:t>
      </w:r>
      <w:r>
        <w:rPr>
          <w:rFonts w:ascii="仿宋_GB2312" w:eastAsia="仿宋_GB2312" w:hint="eastAsia"/>
          <w:color w:val="000000"/>
          <w:sz w:val="32"/>
          <w:szCs w:val="32"/>
        </w:rPr>
        <w:t>528.86万元，主</w:t>
      </w:r>
      <w:r>
        <w:rPr>
          <w:rFonts w:ascii="仿宋_GB2312" w:eastAsia="仿宋_GB2312" w:hint="eastAsia"/>
          <w:sz w:val="32"/>
          <w:szCs w:val="32"/>
        </w:rPr>
        <w:t>要用于体育运动训练中心人员基本支出以及中心日常</w:t>
      </w:r>
      <w:r>
        <w:rPr>
          <w:rFonts w:ascii="仿宋_GB2312" w:eastAsia="仿宋_GB2312" w:hAnsi="仿宋_GB2312" w:hint="eastAsia"/>
          <w:sz w:val="32"/>
        </w:rPr>
        <w:t>办公及印刷费、邮电费、差旅费、会议费、福利费、日常维修费等。</w:t>
      </w:r>
    </w:p>
    <w:p w:rsidR="00745EE0" w:rsidRDefault="000553FC">
      <w:pPr>
        <w:spacing w:line="560" w:lineRule="exact"/>
        <w:ind w:firstLine="64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int="eastAsia"/>
          <w:color w:val="000000"/>
          <w:sz w:val="32"/>
          <w:szCs w:val="32"/>
        </w:rPr>
        <w:t>社会保障和就业支出</w:t>
      </w:r>
      <w:r>
        <w:rPr>
          <w:rFonts w:ascii="仿宋_GB2312" w:eastAsia="仿宋_GB2312" w:hAnsi="宋体" w:cs="宋体" w:hint="eastAsia"/>
          <w:sz w:val="32"/>
          <w:szCs w:val="32"/>
        </w:rPr>
        <w:t>（类）行政事业单位养老支出（款）</w:t>
      </w:r>
      <w:r>
        <w:rPr>
          <w:rFonts w:ascii="仿宋_GB2312" w:eastAsia="仿宋_GB2312" w:hint="eastAsia"/>
          <w:color w:val="000000"/>
          <w:sz w:val="32"/>
          <w:szCs w:val="32"/>
        </w:rPr>
        <w:t>机关事业单位基本养老保险缴费支出</w:t>
      </w:r>
      <w:r>
        <w:rPr>
          <w:rFonts w:ascii="仿宋_GB2312" w:eastAsia="仿宋_GB2312" w:hAnsi="宋体" w:cs="宋体" w:hint="eastAsia"/>
          <w:sz w:val="32"/>
          <w:szCs w:val="32"/>
        </w:rPr>
        <w:t>（项）</w:t>
      </w:r>
      <w:r>
        <w:rPr>
          <w:rFonts w:ascii="仿宋_GB2312" w:eastAsia="仿宋_GB2312" w:hint="eastAsia"/>
          <w:color w:val="000000"/>
          <w:sz w:val="32"/>
          <w:szCs w:val="32"/>
        </w:rPr>
        <w:t>24.78万元，主要用于机关事业单位实施养老保险制度由单位缴纳的基本养老保险支出。</w:t>
      </w:r>
    </w:p>
    <w:p w:rsidR="00745EE0" w:rsidRDefault="000553FC">
      <w:pPr>
        <w:spacing w:line="560" w:lineRule="exact"/>
        <w:ind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int="eastAsia"/>
          <w:color w:val="000000"/>
          <w:sz w:val="32"/>
          <w:szCs w:val="32"/>
        </w:rPr>
        <w:t>社会保障和就业支出</w:t>
      </w:r>
      <w:r>
        <w:rPr>
          <w:rFonts w:ascii="仿宋_GB2312" w:eastAsia="仿宋_GB2312" w:hAnsi="宋体" w:cs="宋体" w:hint="eastAsia"/>
          <w:sz w:val="32"/>
          <w:szCs w:val="32"/>
        </w:rPr>
        <w:t>（类）行政事业单位养老支出（款）</w:t>
      </w:r>
      <w:r>
        <w:rPr>
          <w:rFonts w:ascii="仿宋_GB2312" w:eastAsia="仿宋_GB2312" w:hint="eastAsia"/>
          <w:color w:val="000000"/>
          <w:sz w:val="32"/>
          <w:szCs w:val="32"/>
        </w:rPr>
        <w:t>机关事业单位职业年金缴费支出</w:t>
      </w:r>
      <w:r>
        <w:rPr>
          <w:rFonts w:ascii="仿宋_GB2312" w:eastAsia="仿宋_GB2312" w:hAnsi="宋体" w:cs="宋体" w:hint="eastAsia"/>
          <w:sz w:val="32"/>
          <w:szCs w:val="32"/>
        </w:rPr>
        <w:t>（项）</w:t>
      </w:r>
      <w:r>
        <w:rPr>
          <w:rFonts w:ascii="仿宋_GB2312" w:eastAsia="仿宋_GB2312" w:hint="eastAsia"/>
          <w:color w:val="000000"/>
          <w:sz w:val="32"/>
          <w:szCs w:val="32"/>
        </w:rPr>
        <w:t>12.39万元，主要用于机关事业单位实施养老保险制度由单位实际缴纳的职业年金支出。</w:t>
      </w:r>
    </w:p>
    <w:p w:rsidR="00745EE0" w:rsidRDefault="000553FC">
      <w:pPr>
        <w:spacing w:line="560" w:lineRule="exact"/>
        <w:ind w:firstLine="642"/>
        <w:rPr>
          <w:rFonts w:ascii="仿宋_GB2312" w:eastAsia="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int="eastAsia"/>
          <w:color w:val="000000"/>
          <w:sz w:val="32"/>
          <w:szCs w:val="32"/>
        </w:rPr>
        <w:t>社会保障和就业支出</w:t>
      </w:r>
      <w:r>
        <w:rPr>
          <w:rFonts w:ascii="仿宋_GB2312" w:eastAsia="仿宋_GB2312" w:hAnsi="宋体" w:cs="宋体" w:hint="eastAsia"/>
          <w:sz w:val="32"/>
          <w:szCs w:val="32"/>
        </w:rPr>
        <w:t>（类）其他社会保障和就业支出（款）</w:t>
      </w:r>
      <w:r>
        <w:rPr>
          <w:rFonts w:ascii="仿宋_GB2312" w:eastAsia="仿宋_GB2312" w:hint="eastAsia"/>
          <w:color w:val="000000"/>
          <w:sz w:val="32"/>
          <w:szCs w:val="32"/>
        </w:rPr>
        <w:t>其他社会保障和就业支出（项）3.72万元，主要用于事业单位其他社会保障和就业方面的支出。</w:t>
      </w:r>
    </w:p>
    <w:p w:rsidR="00745EE0" w:rsidRDefault="000553FC">
      <w:pPr>
        <w:spacing w:line="560" w:lineRule="exact"/>
        <w:ind w:firstLine="642"/>
        <w:rPr>
          <w:rFonts w:ascii="仿宋_GB2312" w:eastAsia="仿宋_GB2312" w:hAnsi="仿宋_GB2312" w:cs="仿宋_GB2312"/>
          <w:color w:val="000000"/>
          <w:sz w:val="32"/>
          <w:szCs w:val="32"/>
        </w:rPr>
      </w:pPr>
      <w:r>
        <w:rPr>
          <w:rFonts w:ascii="仿宋_GB2312" w:eastAsia="仿宋_GB2312" w:hint="eastAsia"/>
          <w:color w:val="000000"/>
          <w:sz w:val="32"/>
          <w:szCs w:val="32"/>
        </w:rPr>
        <w:t>（5）卫生健康支出（类）行事事业单位医疗（款）事业单位医疗（项）30.69万元，主要用于事业人员医疗费用。</w:t>
      </w:r>
    </w:p>
    <w:p w:rsidR="00745EE0" w:rsidRDefault="000553FC">
      <w:pPr>
        <w:spacing w:line="560" w:lineRule="exact"/>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 xml:space="preserve">    （六）关于</w:t>
      </w:r>
      <w:r>
        <w:rPr>
          <w:rFonts w:ascii="仿宋_GB2312" w:eastAsia="仿宋_GB2312" w:hAnsi="仿宋_GB2312" w:cs="仿宋_GB2312" w:hint="eastAsia"/>
          <w:bCs/>
          <w:spacing w:val="15"/>
          <w:sz w:val="32"/>
          <w:szCs w:val="32"/>
        </w:rPr>
        <w:t>丽水市体育运动训练中心</w:t>
      </w:r>
      <w:r>
        <w:rPr>
          <w:rFonts w:ascii="楷体_GB2312" w:eastAsia="楷体_GB2312" w:hAnsi="楷体_GB2312" w:cs="楷体_GB2312" w:hint="eastAsia"/>
          <w:bCs/>
          <w:color w:val="000000"/>
          <w:sz w:val="32"/>
          <w:szCs w:val="32"/>
        </w:rPr>
        <w:t>2023年一般公共预算基本支出情况说明</w:t>
      </w:r>
    </w:p>
    <w:p w:rsidR="00745EE0" w:rsidRDefault="000553FC">
      <w:pPr>
        <w:spacing w:line="560" w:lineRule="exact"/>
        <w:ind w:firstLine="642"/>
        <w:rPr>
          <w:rFonts w:ascii="仿宋_GB2312" w:eastAsia="仿宋_GB2312"/>
          <w:color w:val="000000"/>
          <w:sz w:val="32"/>
          <w:szCs w:val="32"/>
        </w:rPr>
      </w:pPr>
      <w:r>
        <w:rPr>
          <w:rFonts w:ascii="仿宋_GB2312" w:eastAsia="仿宋_GB2312" w:hAnsi="仿宋_GB2312" w:cs="仿宋_GB2312" w:hint="eastAsia"/>
          <w:bCs/>
          <w:spacing w:val="15"/>
          <w:sz w:val="32"/>
          <w:szCs w:val="32"/>
        </w:rPr>
        <w:t>丽水市体育运动训练中心</w:t>
      </w:r>
      <w:r>
        <w:rPr>
          <w:rFonts w:ascii="仿宋_GB2312" w:eastAsia="仿宋_GB2312" w:hint="eastAsia"/>
          <w:color w:val="000000"/>
          <w:sz w:val="32"/>
          <w:szCs w:val="32"/>
        </w:rPr>
        <w:t>2023年一般公共预算基本支出600.43万元，其中：</w:t>
      </w:r>
    </w:p>
    <w:p w:rsidR="00745EE0" w:rsidRDefault="000553FC">
      <w:pPr>
        <w:spacing w:line="560" w:lineRule="exact"/>
        <w:ind w:firstLine="642"/>
        <w:rPr>
          <w:rFonts w:ascii="仿宋_GB2312" w:eastAsia="仿宋_GB2312"/>
          <w:color w:val="000000"/>
          <w:sz w:val="32"/>
          <w:szCs w:val="32"/>
        </w:rPr>
      </w:pPr>
      <w:r>
        <w:rPr>
          <w:rFonts w:ascii="仿宋_GB2312" w:eastAsia="仿宋_GB2312" w:hint="eastAsia"/>
          <w:color w:val="000000"/>
          <w:sz w:val="32"/>
          <w:szCs w:val="32"/>
        </w:rPr>
        <w:t>人员经费485.73万元，主要包括：基本工资、奖金、绩效工资、机关事业单位基本养老保险缴费、职业年金缴费、职工基本医疗保险缴费、公务员医疗补助缴费、其他社会保障缴费、住房</w:t>
      </w:r>
      <w:r>
        <w:rPr>
          <w:rFonts w:ascii="仿宋_GB2312" w:eastAsia="仿宋_GB2312" w:hint="eastAsia"/>
          <w:color w:val="000000"/>
          <w:sz w:val="32"/>
          <w:szCs w:val="32"/>
        </w:rPr>
        <w:lastRenderedPageBreak/>
        <w:t>公积金、其他工资福利支出、退休费。</w:t>
      </w:r>
    </w:p>
    <w:p w:rsidR="00745EE0" w:rsidRDefault="000553FC">
      <w:pPr>
        <w:spacing w:line="560" w:lineRule="exact"/>
        <w:ind w:firstLine="642"/>
        <w:rPr>
          <w:rFonts w:ascii="仿宋_GB2312" w:eastAsia="仿宋_GB2312"/>
          <w:color w:val="000000"/>
          <w:sz w:val="32"/>
          <w:szCs w:val="32"/>
        </w:rPr>
      </w:pPr>
      <w:r>
        <w:rPr>
          <w:rFonts w:ascii="仿宋_GB2312" w:eastAsia="仿宋_GB2312" w:hint="eastAsia"/>
          <w:color w:val="000000"/>
          <w:sz w:val="32"/>
          <w:szCs w:val="32"/>
        </w:rPr>
        <w:t>公用经费114.71万元，主要包括：办公费、咨询费、水费、电费、邮电费、物业管理费、差旅费、维修（护）费、租赁费、公务接待费、专用材料费、被装购置费、专用燃料费、劳务费、委托业务费、工会经费、福利费、其他商品和服务支出、其他对个人和家庭的补助。</w:t>
      </w:r>
    </w:p>
    <w:p w:rsidR="00745EE0" w:rsidRDefault="000553FC">
      <w:pPr>
        <w:spacing w:line="560" w:lineRule="exact"/>
        <w:ind w:firstLine="642"/>
        <w:rPr>
          <w:rFonts w:ascii="仿宋_GB2312" w:eastAsia="仿宋_GB2312" w:hAnsi="仿宋_GB2312" w:cs="仿宋_GB2312"/>
          <w:color w:val="000000"/>
          <w:sz w:val="32"/>
          <w:szCs w:val="32"/>
        </w:rPr>
      </w:pPr>
      <w:r>
        <w:rPr>
          <w:rFonts w:ascii="楷体_GB2312" w:eastAsia="楷体_GB2312" w:hAnsi="楷体_GB2312" w:cs="楷体_GB2312" w:hint="eastAsia"/>
          <w:bCs/>
          <w:color w:val="000000"/>
          <w:sz w:val="32"/>
          <w:szCs w:val="32"/>
        </w:rPr>
        <w:t>（七）关于</w:t>
      </w:r>
      <w:r>
        <w:rPr>
          <w:rFonts w:ascii="仿宋_GB2312" w:eastAsia="仿宋_GB2312" w:hAnsi="仿宋_GB2312" w:cs="仿宋_GB2312" w:hint="eastAsia"/>
          <w:bCs/>
          <w:spacing w:val="15"/>
          <w:sz w:val="32"/>
          <w:szCs w:val="32"/>
        </w:rPr>
        <w:t>丽水市体育运动训练中心</w:t>
      </w:r>
      <w:r>
        <w:rPr>
          <w:rFonts w:ascii="楷体_GB2312" w:eastAsia="楷体_GB2312" w:hAnsi="楷体_GB2312" w:cs="楷体_GB2312" w:hint="eastAsia"/>
          <w:bCs/>
          <w:color w:val="000000"/>
          <w:sz w:val="32"/>
          <w:szCs w:val="32"/>
        </w:rPr>
        <w:t>2023年政府性基金预算支出情况说明</w:t>
      </w:r>
    </w:p>
    <w:p w:rsidR="00745EE0" w:rsidRDefault="000553FC">
      <w:pPr>
        <w:spacing w:line="56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1.政府性基金预算当年拨款规模变化情况。</w:t>
      </w:r>
    </w:p>
    <w:p w:rsidR="00745EE0" w:rsidRDefault="000553FC">
      <w:pPr>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bCs/>
          <w:spacing w:val="15"/>
          <w:sz w:val="32"/>
          <w:szCs w:val="32"/>
        </w:rPr>
        <w:t>丽水市体育运动训练中心</w:t>
      </w:r>
      <w:r>
        <w:rPr>
          <w:rFonts w:ascii="仿宋_GB2312" w:eastAsia="仿宋_GB2312" w:hAnsi="仿宋_GB2312" w:cs="仿宋_GB2312" w:hint="eastAsia"/>
          <w:color w:val="000000"/>
          <w:sz w:val="32"/>
          <w:szCs w:val="32"/>
        </w:rPr>
        <w:t>2023年政府性基金预算当年拨款1145.04万元</w:t>
      </w:r>
      <w:r>
        <w:rPr>
          <w:rFonts w:ascii="仿宋_GB2312" w:eastAsia="仿宋_GB2312" w:hAnsi="仿宋_GB2312" w:cs="仿宋_GB2312" w:hint="eastAsia"/>
          <w:sz w:val="32"/>
          <w:szCs w:val="32"/>
        </w:rPr>
        <w:t>，比2022年执行数增加556.66万元，</w:t>
      </w:r>
      <w:r>
        <w:rPr>
          <w:rFonts w:ascii="仿宋_GB2312" w:eastAsia="仿宋_GB2312" w:hAnsi="仿宋_GB2312" w:cs="仿宋_GB2312" w:hint="eastAsia"/>
          <w:sz w:val="32"/>
        </w:rPr>
        <w:t>增长94.6%，</w:t>
      </w:r>
      <w:r>
        <w:rPr>
          <w:rFonts w:ascii="仿宋_GB2312" w:eastAsia="仿宋_GB2312" w:hAnsi="仿宋_GB2312" w:cs="仿宋_GB2312" w:hint="eastAsia"/>
          <w:sz w:val="32"/>
          <w:szCs w:val="32"/>
        </w:rPr>
        <w:t>主要是2023年丽水市水上运动训练中心投入使用，需购置大量专业运动器材。</w:t>
      </w:r>
    </w:p>
    <w:p w:rsidR="00745EE0" w:rsidRDefault="000553FC">
      <w:pPr>
        <w:spacing w:line="56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2.政府性基金预算当年拨款结构情况。</w:t>
      </w:r>
    </w:p>
    <w:p w:rsidR="00745EE0" w:rsidRDefault="000553FC">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int="eastAsia"/>
          <w:color w:val="000000"/>
          <w:sz w:val="32"/>
          <w:szCs w:val="32"/>
        </w:rPr>
        <w:t>其他支出（类）支出1145.04万元，占100%；</w:t>
      </w:r>
    </w:p>
    <w:p w:rsidR="00745EE0" w:rsidRDefault="000553FC">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color w:val="000000"/>
          <w:sz w:val="32"/>
          <w:szCs w:val="32"/>
        </w:rPr>
        <w:t xml:space="preserve">  3.政府性基金预算当年拨款具体使用情况。</w:t>
      </w:r>
    </w:p>
    <w:p w:rsidR="00745EE0" w:rsidRDefault="000553F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其他支出（类）彩票公益金安排的支出（款）用于体育事业的彩票公益金支出（项）1145.04万元，主要用于引进优秀运动员、教练员经费40万元、少体校训练竞赛经费168万元、少体校布局布点学校经费132万元、备战十八届省运</w:t>
      </w:r>
      <w:proofErr w:type="gramStart"/>
      <w:r>
        <w:rPr>
          <w:rFonts w:ascii="仿宋_GB2312" w:eastAsia="仿宋_GB2312" w:hint="eastAsia"/>
          <w:color w:val="000000"/>
          <w:sz w:val="32"/>
          <w:szCs w:val="32"/>
        </w:rPr>
        <w:t>会经费</w:t>
      </w:r>
      <w:proofErr w:type="gramEnd"/>
      <w:r>
        <w:rPr>
          <w:rFonts w:ascii="仿宋_GB2312" w:eastAsia="仿宋_GB2312" w:hint="eastAsia"/>
          <w:color w:val="000000"/>
          <w:sz w:val="32"/>
          <w:szCs w:val="32"/>
        </w:rPr>
        <w:t>5万元、假期运动员集训90万元、运动员文化课辅导20万元、中央体彩公益金专项资金30万元、省扶持专项资金60.04万元、2022年水上运动中心器材购置结转300万元、水上运动中心日常运转300万元。</w:t>
      </w:r>
    </w:p>
    <w:p w:rsidR="00745EE0" w:rsidRDefault="000553FC">
      <w:pPr>
        <w:spacing w:line="56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lastRenderedPageBreak/>
        <w:t>（八）关于</w:t>
      </w:r>
      <w:r>
        <w:rPr>
          <w:rFonts w:ascii="仿宋_GB2312" w:eastAsia="仿宋_GB2312" w:hAnsi="仿宋_GB2312" w:cs="仿宋_GB2312" w:hint="eastAsia"/>
          <w:bCs/>
          <w:spacing w:val="15"/>
          <w:sz w:val="32"/>
          <w:szCs w:val="32"/>
        </w:rPr>
        <w:t>丽水市体育运动训练中心</w:t>
      </w:r>
      <w:r>
        <w:rPr>
          <w:rFonts w:ascii="楷体_GB2312" w:eastAsia="楷体_GB2312" w:hAnsi="楷体_GB2312" w:cs="楷体_GB2312" w:hint="eastAsia"/>
          <w:bCs/>
          <w:color w:val="000000"/>
          <w:sz w:val="32"/>
          <w:szCs w:val="32"/>
        </w:rPr>
        <w:t>2023年国有资本经营预算支出情况说明</w:t>
      </w:r>
    </w:p>
    <w:p w:rsidR="00745EE0" w:rsidRDefault="000553FC">
      <w:pPr>
        <w:spacing w:line="560" w:lineRule="exact"/>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Cs/>
          <w:spacing w:val="15"/>
          <w:sz w:val="32"/>
          <w:szCs w:val="32"/>
        </w:rPr>
        <w:t>丽水市体育运动训练中心</w:t>
      </w:r>
      <w:r>
        <w:rPr>
          <w:rFonts w:ascii="仿宋_GB2312" w:eastAsia="仿宋_GB2312" w:hAnsi="仿宋_GB2312" w:cs="仿宋_GB2312" w:hint="eastAsia"/>
          <w:color w:val="000000"/>
          <w:sz w:val="32"/>
          <w:szCs w:val="32"/>
        </w:rPr>
        <w:t>2023年没有使用国有资本经营预算拨款安排的支出</w:t>
      </w:r>
    </w:p>
    <w:p w:rsidR="00745EE0" w:rsidRDefault="000553FC">
      <w:pPr>
        <w:spacing w:line="560" w:lineRule="exact"/>
        <w:ind w:firstLineChars="196" w:firstLine="627"/>
        <w:rPr>
          <w:rFonts w:ascii="楷体_GB2312" w:eastAsia="楷体_GB2312" w:hAnsi="楷体_GB2312" w:cs="楷体_GB2312"/>
          <w:b/>
          <w:bCs/>
          <w:sz w:val="32"/>
          <w:szCs w:val="32"/>
        </w:rPr>
      </w:pPr>
      <w:r>
        <w:rPr>
          <w:rFonts w:ascii="楷体_GB2312" w:eastAsia="楷体_GB2312" w:hAnsi="楷体_GB2312" w:cs="楷体_GB2312" w:hint="eastAsia"/>
          <w:bCs/>
          <w:color w:val="000000"/>
          <w:sz w:val="32"/>
          <w:szCs w:val="32"/>
        </w:rPr>
        <w:t>（九）关于</w:t>
      </w:r>
      <w:r>
        <w:rPr>
          <w:rFonts w:ascii="仿宋_GB2312" w:eastAsia="仿宋_GB2312" w:hAnsi="仿宋_GB2312" w:cs="仿宋_GB2312" w:hint="eastAsia"/>
          <w:bCs/>
          <w:spacing w:val="15"/>
          <w:sz w:val="32"/>
          <w:szCs w:val="32"/>
        </w:rPr>
        <w:t>丽水市体育运动训练中心</w:t>
      </w:r>
      <w:r>
        <w:rPr>
          <w:rFonts w:ascii="楷体_GB2312" w:eastAsia="楷体_GB2312" w:hAnsi="楷体_GB2312" w:cs="楷体_GB2312" w:hint="eastAsia"/>
          <w:bCs/>
          <w:color w:val="000000"/>
          <w:sz w:val="32"/>
          <w:szCs w:val="32"/>
        </w:rPr>
        <w:t>2023年</w:t>
      </w:r>
      <w:r>
        <w:rPr>
          <w:rFonts w:ascii="楷体_GB2312" w:eastAsia="楷体_GB2312" w:hAnsi="楷体_GB2312" w:cs="楷体_GB2312" w:hint="eastAsia"/>
          <w:bCs/>
          <w:sz w:val="32"/>
          <w:szCs w:val="32"/>
        </w:rPr>
        <w:t>一般公共预算</w:t>
      </w:r>
      <w:r>
        <w:rPr>
          <w:rFonts w:ascii="楷体_GB2312" w:eastAsia="楷体_GB2312" w:hAnsi="楷体_GB2312" w:cs="楷体_GB2312" w:hint="eastAsia"/>
          <w:bCs/>
          <w:color w:val="000000"/>
          <w:sz w:val="32"/>
          <w:szCs w:val="32"/>
        </w:rPr>
        <w:t>“三公”经费预算情况说明。</w:t>
      </w:r>
    </w:p>
    <w:p w:rsidR="00745EE0" w:rsidRDefault="000553FC">
      <w:pPr>
        <w:spacing w:line="560" w:lineRule="exact"/>
        <w:ind w:firstLineChars="200" w:firstLine="700"/>
        <w:rPr>
          <w:rFonts w:ascii="仿宋_GB2312" w:eastAsia="仿宋_GB2312" w:hAnsi="仿宋_GB2312"/>
          <w:sz w:val="32"/>
        </w:rPr>
      </w:pPr>
      <w:r>
        <w:rPr>
          <w:rFonts w:ascii="仿宋_GB2312" w:eastAsia="仿宋_GB2312" w:hAnsi="仿宋_GB2312" w:cs="仿宋_GB2312" w:hint="eastAsia"/>
          <w:bCs/>
          <w:spacing w:val="15"/>
          <w:sz w:val="32"/>
          <w:szCs w:val="32"/>
        </w:rPr>
        <w:t>丽水市体育运动训练中心</w:t>
      </w:r>
      <w:r>
        <w:rPr>
          <w:rFonts w:ascii="仿宋_GB2312" w:eastAsia="仿宋_GB2312" w:hAnsi="仿宋_GB2312" w:hint="eastAsia"/>
          <w:sz w:val="32"/>
        </w:rPr>
        <w:t>2023年“三公”经费预算数为</w:t>
      </w:r>
      <w:r>
        <w:rPr>
          <w:rFonts w:ascii="仿宋_GB2312" w:eastAsia="仿宋_GB2312" w:hint="eastAsia"/>
          <w:color w:val="000000"/>
          <w:sz w:val="32"/>
          <w:szCs w:val="32"/>
        </w:rPr>
        <w:t>0.83</w:t>
      </w:r>
      <w:r>
        <w:rPr>
          <w:rFonts w:ascii="仿宋_GB2312" w:eastAsia="仿宋_GB2312" w:hAnsi="仿宋_GB2312" w:hint="eastAsia"/>
          <w:sz w:val="32"/>
        </w:rPr>
        <w:t>万元，</w:t>
      </w:r>
      <w:r>
        <w:rPr>
          <w:rFonts w:ascii="仿宋_GB2312" w:eastAsia="仿宋_GB2312" w:hAnsi="仿宋_GB2312" w:hint="eastAsia"/>
          <w:sz w:val="32"/>
          <w:shd w:val="clear" w:color="auto" w:fill="FFFFFF"/>
          <w:lang w:bidi="ar"/>
        </w:rPr>
        <w:t>比上年预算数减少0.01万元，下降 1.2%</w:t>
      </w:r>
      <w:r>
        <w:rPr>
          <w:rFonts w:ascii="仿宋_GB2312" w:eastAsia="仿宋_GB2312" w:hAnsi="仿宋_GB2312" w:hint="eastAsia"/>
          <w:sz w:val="32"/>
        </w:rPr>
        <w:t>，具体如下：</w:t>
      </w:r>
    </w:p>
    <w:p w:rsidR="00745EE0" w:rsidRDefault="000553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1.因公出国（境）费用：</w:t>
      </w:r>
      <w:r>
        <w:rPr>
          <w:rFonts w:ascii="仿宋_GB2312" w:eastAsia="仿宋_GB2312" w:hAnsi="仿宋_GB2312" w:cs="仿宋_GB2312" w:hint="eastAsia"/>
          <w:sz w:val="32"/>
          <w:szCs w:val="32"/>
        </w:rPr>
        <w:t>2023年安排因公出国（境）费用预算</w:t>
      </w:r>
      <w:r>
        <w:rPr>
          <w:rFonts w:ascii="仿宋_GB2312" w:eastAsia="仿宋_GB2312" w:hint="eastAsia"/>
          <w:color w:val="000000"/>
          <w:sz w:val="32"/>
          <w:szCs w:val="32"/>
        </w:rPr>
        <w:t>0</w:t>
      </w:r>
      <w:r>
        <w:rPr>
          <w:rFonts w:ascii="仿宋_GB2312" w:eastAsia="仿宋_GB2312" w:hAnsi="仿宋_GB2312" w:cs="仿宋_GB2312" w:hint="eastAsia"/>
          <w:sz w:val="32"/>
          <w:szCs w:val="32"/>
        </w:rPr>
        <w:t>万元，与上年预算数持平。</w:t>
      </w:r>
      <w:r>
        <w:rPr>
          <w:rFonts w:ascii="仿宋_GB2312" w:eastAsia="仿宋_GB2312" w:hAnsi="仿宋" w:hint="eastAsia"/>
          <w:sz w:val="32"/>
          <w:szCs w:val="32"/>
        </w:rPr>
        <w:t>主要原因是：2023年因公出国（境）预算由财政统留管理，未编列到年初部门预算中。根据市外办安排的因公出</w:t>
      </w:r>
      <w:proofErr w:type="gramStart"/>
      <w:r>
        <w:rPr>
          <w:rFonts w:ascii="仿宋_GB2312" w:eastAsia="仿宋_GB2312" w:hAnsi="仿宋" w:hint="eastAsia"/>
          <w:sz w:val="32"/>
          <w:szCs w:val="32"/>
        </w:rPr>
        <w:t>国计划</w:t>
      </w:r>
      <w:proofErr w:type="gramEnd"/>
      <w:r>
        <w:rPr>
          <w:rFonts w:ascii="仿宋_GB2312" w:eastAsia="仿宋_GB2312" w:hAnsi="仿宋" w:hint="eastAsia"/>
          <w:sz w:val="32"/>
          <w:szCs w:val="32"/>
        </w:rPr>
        <w:t>和实际工作需要，经批准同意因公出国（境）的，所需指标由财政按实追加部门年度“三公”经费预算额度。</w:t>
      </w:r>
      <w:r>
        <w:rPr>
          <w:rFonts w:ascii="仿宋_GB2312" w:eastAsia="仿宋_GB2312" w:hAnsi="仿宋_GB2312" w:cs="仿宋_GB2312" w:hint="eastAsia"/>
          <w:kern w:val="0"/>
          <w:sz w:val="32"/>
          <w:szCs w:val="32"/>
        </w:rPr>
        <w:t>因公出国（境）费用</w:t>
      </w:r>
      <w:r>
        <w:rPr>
          <w:rFonts w:ascii="仿宋_GB2312" w:eastAsia="仿宋_GB2312" w:hAnsi="仿宋_GB2312" w:cs="仿宋_GB2312" w:hint="eastAsia"/>
          <w:sz w:val="32"/>
          <w:szCs w:val="32"/>
        </w:rPr>
        <w:t>主要用于机关及下属预算单位人员的公务出国（境）的国际旅费、国外城市间交通费、住宿费、伙食费、培训费、公杂费等支出。</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2.公务接待费：2023年安排公务接待费预算</w:t>
      </w:r>
      <w:r>
        <w:rPr>
          <w:rFonts w:ascii="仿宋_GB2312" w:eastAsia="仿宋_GB2312" w:hint="eastAsia"/>
          <w:color w:val="000000"/>
          <w:sz w:val="32"/>
          <w:szCs w:val="32"/>
        </w:rPr>
        <w:t>0.83</w:t>
      </w:r>
      <w:r>
        <w:rPr>
          <w:rFonts w:ascii="仿宋_GB2312" w:eastAsia="仿宋_GB2312" w:hAnsi="仿宋_GB2312" w:cs="仿宋_GB2312" w:hint="eastAsia"/>
          <w:sz w:val="32"/>
          <w:szCs w:val="32"/>
        </w:rPr>
        <w:t>万元，比上年预算数减少0.01万元，下降1.2%。主要用于接待</w:t>
      </w:r>
      <w:r>
        <w:rPr>
          <w:rFonts w:ascii="仿宋_GB2312" w:eastAsia="仿宋_GB2312" w:hint="eastAsia"/>
          <w:color w:val="000000"/>
          <w:sz w:val="32"/>
          <w:szCs w:val="32"/>
        </w:rPr>
        <w:t>体育对口调研学习、赛事活动、体育训练等</w:t>
      </w:r>
      <w:r>
        <w:rPr>
          <w:rFonts w:ascii="仿宋_GB2312" w:eastAsia="仿宋_GB2312" w:hint="eastAsia"/>
          <w:sz w:val="32"/>
          <w:szCs w:val="32"/>
        </w:rPr>
        <w:t>支出</w:t>
      </w:r>
      <w:r>
        <w:rPr>
          <w:rFonts w:ascii="仿宋_GB2312" w:eastAsia="仿宋_GB2312" w:hAnsi="仿宋_GB2312" w:cs="仿宋_GB2312" w:hint="eastAsia"/>
          <w:sz w:val="32"/>
          <w:szCs w:val="32"/>
        </w:rPr>
        <w:t>。减少的主要原因是新省运会周期，调研学习相对减少。</w:t>
      </w:r>
    </w:p>
    <w:p w:rsidR="00745EE0" w:rsidRDefault="000553FC">
      <w:pPr>
        <w:pStyle w:val="p0"/>
        <w:spacing w:line="560" w:lineRule="exact"/>
        <w:ind w:firstLineChars="200" w:firstLine="640"/>
        <w:rPr>
          <w:rFonts w:ascii="仿宋_GB2312" w:eastAsia="仿宋_GB2312"/>
          <w:b/>
          <w:bCs/>
          <w:color w:val="000000"/>
          <w:sz w:val="32"/>
          <w:szCs w:val="32"/>
        </w:rPr>
      </w:pPr>
      <w:r>
        <w:rPr>
          <w:rFonts w:ascii="仿宋_GB2312" w:eastAsia="仿宋_GB2312" w:hint="eastAsia"/>
          <w:sz w:val="32"/>
          <w:szCs w:val="32"/>
        </w:rPr>
        <w:t>3.公务用车购置及运行维护费：2023年安排公务用车购置及运行维护费预算</w:t>
      </w:r>
      <w:r>
        <w:rPr>
          <w:rFonts w:ascii="仿宋_GB2312" w:eastAsia="仿宋_GB2312" w:hint="eastAsia"/>
          <w:color w:val="000000"/>
          <w:sz w:val="32"/>
          <w:szCs w:val="32"/>
        </w:rPr>
        <w:t>0</w:t>
      </w:r>
      <w:r>
        <w:rPr>
          <w:rFonts w:ascii="仿宋_GB2312" w:eastAsia="仿宋_GB2312" w:hint="eastAsia"/>
          <w:sz w:val="32"/>
          <w:szCs w:val="32"/>
        </w:rPr>
        <w:t>万元，与上年</w:t>
      </w:r>
      <w:r w:rsidR="00B17021">
        <w:rPr>
          <w:rFonts w:ascii="仿宋_GB2312" w:eastAsia="仿宋_GB2312" w:hint="eastAsia"/>
          <w:sz w:val="32"/>
          <w:szCs w:val="32"/>
        </w:rPr>
        <w:t>预算数</w:t>
      </w:r>
      <w:r>
        <w:rPr>
          <w:rFonts w:ascii="仿宋_GB2312" w:eastAsia="仿宋_GB2312" w:hint="eastAsia"/>
          <w:sz w:val="32"/>
          <w:szCs w:val="32"/>
        </w:rPr>
        <w:t>持平。其中，公务用车购置支出</w:t>
      </w:r>
      <w:r>
        <w:rPr>
          <w:rFonts w:ascii="仿宋_GB2312" w:eastAsia="仿宋_GB2312" w:hint="eastAsia"/>
          <w:color w:val="000000"/>
          <w:sz w:val="32"/>
          <w:szCs w:val="32"/>
        </w:rPr>
        <w:t>0</w:t>
      </w:r>
      <w:r>
        <w:rPr>
          <w:rFonts w:ascii="仿宋_GB2312" w:eastAsia="仿宋_GB2312" w:hint="eastAsia"/>
          <w:sz w:val="32"/>
          <w:szCs w:val="32"/>
        </w:rPr>
        <w:t>万元（含购置税等附加费用），主要用于经批准购置的</w:t>
      </w:r>
      <w:r>
        <w:rPr>
          <w:rFonts w:ascii="仿宋_GB2312" w:eastAsia="仿宋_GB2312" w:hint="eastAsia"/>
          <w:color w:val="000000"/>
          <w:sz w:val="32"/>
          <w:szCs w:val="32"/>
        </w:rPr>
        <w:t>0</w:t>
      </w:r>
      <w:r>
        <w:rPr>
          <w:rFonts w:ascii="仿宋_GB2312" w:eastAsia="仿宋_GB2312" w:hint="eastAsia"/>
          <w:sz w:val="32"/>
          <w:szCs w:val="32"/>
        </w:rPr>
        <w:t>辆公务用车，与上年</w:t>
      </w:r>
      <w:r w:rsidR="00B17021">
        <w:rPr>
          <w:rFonts w:ascii="仿宋_GB2312" w:eastAsia="仿宋_GB2312" w:hint="eastAsia"/>
          <w:sz w:val="32"/>
          <w:szCs w:val="32"/>
        </w:rPr>
        <w:t>预算数</w:t>
      </w:r>
      <w:r>
        <w:rPr>
          <w:rFonts w:ascii="仿宋_GB2312" w:eastAsia="仿宋_GB2312" w:hint="eastAsia"/>
          <w:sz w:val="32"/>
          <w:szCs w:val="32"/>
        </w:rPr>
        <w:t>持平；公务用车运行维护费支出</w:t>
      </w:r>
      <w:r>
        <w:rPr>
          <w:rFonts w:ascii="仿宋_GB2312" w:eastAsia="仿宋_GB2312" w:hint="eastAsia"/>
          <w:color w:val="000000"/>
          <w:sz w:val="32"/>
          <w:szCs w:val="32"/>
        </w:rPr>
        <w:t>0</w:t>
      </w:r>
      <w:r>
        <w:rPr>
          <w:rFonts w:ascii="仿宋_GB2312" w:eastAsia="仿宋_GB2312" w:hint="eastAsia"/>
          <w:sz w:val="32"/>
          <w:szCs w:val="32"/>
        </w:rPr>
        <w:t>万</w:t>
      </w:r>
      <w:r>
        <w:rPr>
          <w:rFonts w:ascii="仿宋_GB2312" w:eastAsia="仿宋_GB2312" w:hint="eastAsia"/>
          <w:sz w:val="32"/>
          <w:szCs w:val="32"/>
        </w:rPr>
        <w:lastRenderedPageBreak/>
        <w:t>元，主要用于公务用车燃料费、维修费、过桥过路费、保险费、安全奖励费用等支出。</w:t>
      </w:r>
      <w:r>
        <w:rPr>
          <w:rFonts w:ascii="仿宋_GB2312" w:eastAsia="仿宋_GB2312" w:hint="eastAsia"/>
          <w:color w:val="000000"/>
          <w:kern w:val="2"/>
          <w:sz w:val="32"/>
          <w:szCs w:val="32"/>
        </w:rPr>
        <w:t>与上年</w:t>
      </w:r>
      <w:r w:rsidR="00B17021">
        <w:rPr>
          <w:rFonts w:ascii="仿宋_GB2312" w:eastAsia="仿宋_GB2312" w:hint="eastAsia"/>
          <w:color w:val="000000"/>
          <w:kern w:val="2"/>
          <w:sz w:val="32"/>
          <w:szCs w:val="32"/>
        </w:rPr>
        <w:t>预算</w:t>
      </w:r>
      <w:r>
        <w:rPr>
          <w:rFonts w:ascii="仿宋_GB2312" w:eastAsia="仿宋_GB2312" w:hint="eastAsia"/>
          <w:color w:val="000000"/>
          <w:kern w:val="2"/>
          <w:sz w:val="32"/>
          <w:szCs w:val="32"/>
        </w:rPr>
        <w:t>数持平</w:t>
      </w:r>
      <w:r>
        <w:rPr>
          <w:rFonts w:ascii="仿宋_GB2312" w:eastAsia="仿宋_GB2312" w:hint="eastAsia"/>
          <w:sz w:val="32"/>
          <w:szCs w:val="32"/>
        </w:rPr>
        <w:t>。</w:t>
      </w:r>
    </w:p>
    <w:p w:rsidR="00745EE0" w:rsidRDefault="000553FC">
      <w:pPr>
        <w:spacing w:line="56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745EE0" w:rsidRDefault="000553FC">
      <w:pPr>
        <w:pStyle w:val="p0"/>
        <w:spacing w:line="560" w:lineRule="exact"/>
        <w:ind w:firstLineChars="200" w:firstLine="640"/>
        <w:rPr>
          <w:rFonts w:ascii="仿宋_GB2312" w:eastAsia="仿宋_GB2312"/>
          <w:sz w:val="32"/>
          <w:szCs w:val="32"/>
        </w:rPr>
      </w:pPr>
      <w:r>
        <w:rPr>
          <w:rFonts w:ascii="仿宋" w:eastAsia="仿宋" w:hAnsi="仿宋" w:cs="仿宋_GB2312" w:hint="eastAsia"/>
          <w:sz w:val="32"/>
          <w:szCs w:val="32"/>
        </w:rPr>
        <w:t>本单位为事业单位，</w:t>
      </w:r>
      <w:proofErr w:type="gramStart"/>
      <w:r>
        <w:rPr>
          <w:rFonts w:ascii="仿宋" w:eastAsia="仿宋" w:hAnsi="仿宋" w:cs="仿宋_GB2312" w:hint="eastAsia"/>
          <w:sz w:val="32"/>
          <w:szCs w:val="32"/>
        </w:rPr>
        <w:t>无机关</w:t>
      </w:r>
      <w:proofErr w:type="gramEnd"/>
      <w:r>
        <w:rPr>
          <w:rFonts w:ascii="仿宋" w:eastAsia="仿宋" w:hAnsi="仿宋" w:cs="仿宋_GB2312" w:hint="eastAsia"/>
          <w:sz w:val="32"/>
          <w:szCs w:val="32"/>
        </w:rPr>
        <w:t>运行经费预算安排。</w:t>
      </w:r>
    </w:p>
    <w:p w:rsidR="00745EE0" w:rsidRDefault="000553FC">
      <w:pPr>
        <w:pStyle w:val="p0"/>
        <w:numPr>
          <w:ilvl w:val="0"/>
          <w:numId w:val="1"/>
        </w:numPr>
        <w:spacing w:line="56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745EE0" w:rsidRDefault="000553FC">
      <w:pPr>
        <w:pStyle w:val="p0"/>
        <w:spacing w:line="560" w:lineRule="exact"/>
        <w:ind w:firstLineChars="200" w:firstLine="640"/>
        <w:rPr>
          <w:rFonts w:ascii="仿宋_GB2312" w:eastAsia="仿宋_GB2312"/>
          <w:sz w:val="32"/>
          <w:szCs w:val="32"/>
        </w:rPr>
      </w:pPr>
      <w:r>
        <w:rPr>
          <w:rFonts w:ascii="仿宋_GB2312" w:eastAsia="仿宋_GB2312" w:hint="eastAsia"/>
          <w:sz w:val="32"/>
          <w:szCs w:val="32"/>
        </w:rPr>
        <w:t>2023年</w:t>
      </w:r>
      <w:r>
        <w:rPr>
          <w:rFonts w:ascii="仿宋_GB2312" w:eastAsia="仿宋_GB2312" w:hAnsi="仿宋_GB2312" w:cs="仿宋_GB2312" w:hint="eastAsia"/>
          <w:bCs/>
          <w:spacing w:val="15"/>
          <w:sz w:val="32"/>
          <w:szCs w:val="32"/>
        </w:rPr>
        <w:t>丽水市体育运动训练中心</w:t>
      </w:r>
      <w:r>
        <w:rPr>
          <w:rFonts w:ascii="仿宋_GB2312" w:eastAsia="仿宋_GB2312" w:hint="eastAsia"/>
          <w:color w:val="000000"/>
          <w:sz w:val="32"/>
          <w:szCs w:val="32"/>
        </w:rPr>
        <w:t>各单位政府采购预算总额0万元，其中：政府采购货物预算0万元、政府采购工程预算0万元、政府采购服务预算0万元。</w:t>
      </w:r>
    </w:p>
    <w:p w:rsidR="00745EE0" w:rsidRDefault="000553FC">
      <w:pPr>
        <w:pStyle w:val="p0"/>
        <w:spacing w:line="560" w:lineRule="exact"/>
        <w:ind w:firstLine="642"/>
        <w:rPr>
          <w:rFonts w:ascii="仿宋_GB2312" w:eastAsia="仿宋_GB2312"/>
          <w:sz w:val="32"/>
          <w:szCs w:val="32"/>
        </w:rPr>
      </w:pPr>
      <w:r>
        <w:rPr>
          <w:rFonts w:ascii="仿宋_GB2312" w:eastAsia="仿宋_GB2312" w:hint="eastAsia"/>
          <w:b/>
          <w:bCs/>
          <w:sz w:val="32"/>
          <w:szCs w:val="32"/>
        </w:rPr>
        <w:t>3.国有资产占有使用情况。</w:t>
      </w:r>
    </w:p>
    <w:p w:rsidR="00745EE0" w:rsidRDefault="000553FC">
      <w:pPr>
        <w:spacing w:line="560" w:lineRule="exact"/>
        <w:ind w:firstLineChars="200" w:firstLine="640"/>
        <w:rPr>
          <w:rFonts w:ascii="仿宋_GB2312" w:eastAsia="仿宋_GB2312" w:hAnsi="Calibri"/>
          <w:sz w:val="32"/>
          <w:szCs w:val="32"/>
        </w:rPr>
      </w:pPr>
      <w:r>
        <w:rPr>
          <w:rFonts w:ascii="仿宋_GB2312" w:eastAsia="仿宋_GB2312" w:hAnsi="仿宋_GB2312" w:cs="仿宋_GB2312" w:hint="eastAsia"/>
          <w:sz w:val="32"/>
          <w:szCs w:val="32"/>
        </w:rPr>
        <w:t>截至2022年12月31日，</w:t>
      </w:r>
      <w:r>
        <w:rPr>
          <w:rFonts w:ascii="仿宋_GB2312" w:eastAsia="仿宋_GB2312" w:hAnsi="仿宋_GB2312" w:cs="仿宋_GB2312" w:hint="eastAsia"/>
          <w:bCs/>
          <w:spacing w:val="15"/>
          <w:sz w:val="32"/>
          <w:szCs w:val="32"/>
        </w:rPr>
        <w:t>丽水市体育运动训练中心</w:t>
      </w:r>
      <w:r>
        <w:rPr>
          <w:rFonts w:ascii="仿宋_GB2312" w:eastAsia="仿宋_GB2312" w:hint="eastAsia"/>
          <w:sz w:val="32"/>
          <w:szCs w:val="32"/>
        </w:rPr>
        <w:t>共有车辆0辆。</w:t>
      </w:r>
      <w:r>
        <w:rPr>
          <w:rFonts w:ascii="仿宋_GB2312" w:eastAsia="仿宋_GB2312" w:hAnsi="Calibri" w:hint="eastAsia"/>
          <w:sz w:val="32"/>
          <w:szCs w:val="32"/>
        </w:rPr>
        <w:t>单位价值50万元以上通用设备0台（套），单位价值100万元以上专用设备0台（套）。</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2023年部门预算未安排购置车辆、单位价值50万元以上通用设备及单位价值100万元以上专用设备。</w:t>
      </w:r>
    </w:p>
    <w:p w:rsidR="00745EE0" w:rsidRDefault="000553FC">
      <w:pPr>
        <w:pStyle w:val="p0"/>
        <w:spacing w:line="560" w:lineRule="exact"/>
        <w:rPr>
          <w:rFonts w:ascii="仿宋_GB2312" w:eastAsia="仿宋_GB2312"/>
          <w:b/>
          <w:bCs/>
          <w:sz w:val="32"/>
          <w:szCs w:val="32"/>
        </w:rPr>
      </w:pPr>
      <w:r>
        <w:rPr>
          <w:rFonts w:ascii="仿宋_GB2312" w:eastAsia="仿宋_GB2312" w:hint="eastAsia"/>
          <w:b/>
          <w:bCs/>
          <w:sz w:val="32"/>
          <w:szCs w:val="32"/>
        </w:rPr>
        <w:t xml:space="preserve">    4.预算绩效情况说明。</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Pr>
          <w:rFonts w:ascii="仿宋_GB2312" w:eastAsia="仿宋_GB2312" w:hAnsi="仿宋_GB2312" w:cs="仿宋_GB2312" w:hint="eastAsia"/>
          <w:bCs/>
          <w:spacing w:val="15"/>
          <w:sz w:val="32"/>
          <w:szCs w:val="32"/>
        </w:rPr>
        <w:t>丽水市体育运动训练中心</w:t>
      </w:r>
      <w:r>
        <w:rPr>
          <w:rFonts w:ascii="仿宋_GB2312" w:eastAsia="仿宋_GB2312" w:hAnsi="仿宋_GB2312" w:cs="仿宋_GB2312" w:hint="eastAsia"/>
          <w:sz w:val="32"/>
          <w:szCs w:val="32"/>
        </w:rPr>
        <w:t>其他运转类项目和特定目标类项目均实行绩效目标管理，涉及一般公共预算当年拨款0万元，</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0个。</w:t>
      </w:r>
    </w:p>
    <w:p w:rsidR="00745EE0" w:rsidRDefault="000553FC">
      <w:pPr>
        <w:pStyle w:val="p0"/>
        <w:spacing w:line="560" w:lineRule="exact"/>
        <w:ind w:firstLineChars="200" w:firstLine="640"/>
        <w:rPr>
          <w:rFonts w:ascii="黑体" w:eastAsia="黑体" w:hAnsi="黑体" w:cs="黑体"/>
          <w:bCs/>
          <w:kern w:val="2"/>
          <w:sz w:val="32"/>
          <w:szCs w:val="32"/>
        </w:rPr>
      </w:pPr>
      <w:r>
        <w:rPr>
          <w:rFonts w:ascii="黑体" w:eastAsia="黑体" w:hAnsi="黑体" w:cs="黑体" w:hint="eastAsia"/>
          <w:bCs/>
          <w:kern w:val="2"/>
          <w:sz w:val="32"/>
          <w:szCs w:val="32"/>
        </w:rPr>
        <w:t>三、名词解释</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w:t>
      </w:r>
      <w:proofErr w:type="gramStart"/>
      <w:r>
        <w:rPr>
          <w:rFonts w:ascii="仿宋_GB2312" w:eastAsia="仿宋_GB2312" w:hAnsi="仿宋_GB2312" w:cs="仿宋_GB2312" w:hint="eastAsia"/>
          <w:sz w:val="32"/>
          <w:szCs w:val="32"/>
        </w:rPr>
        <w:t>门当年</w:t>
      </w:r>
      <w:proofErr w:type="gramEnd"/>
      <w:r>
        <w:rPr>
          <w:rFonts w:ascii="仿宋_GB2312" w:eastAsia="仿宋_GB2312" w:hAnsi="仿宋_GB2312" w:cs="仿宋_GB2312" w:hint="eastAsia"/>
          <w:sz w:val="32"/>
          <w:szCs w:val="32"/>
        </w:rPr>
        <w:t>拨付的财政预算资金，包括一般公共预算财政拨款、政府性基金预算和国有资本经营预算财政拨款。</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2.上年结转：指以前年度尚未完成、结转到本年仍按原规定用途继续使用的资金。</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3.基本支出：是预算单位为保障其正常运转，完成日常工作任务所发生的支出，包括人员支出和日常公用支出。</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4.项目支出：是预算单位为完成其特定的行政工作任务或事业发展目标所发生的支出。</w:t>
      </w:r>
    </w:p>
    <w:p w:rsidR="00745EE0" w:rsidRDefault="000553F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5.“三公”经费：纳入财政预决算管理的“三公”经费，是指部门用一般公共预算财政拨款安排的因公出国（境）费、公务用车购置及运行费和公务接待费。其中，因公出国（境）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单位公务出国（境）的国际旅费、国外城市间交通费、住宿费、伙食费、培训费、公杂费等支出，不含教学科研人员学术交流；公务用车购置及运行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购置税）及燃料费、维修费、过桥过路费、保险费、安全奖励费用等支出；公务接待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745EE0" w:rsidRDefault="000553FC">
      <w:pPr>
        <w:spacing w:line="560" w:lineRule="exact"/>
        <w:ind w:firstLineChars="196" w:firstLine="627"/>
        <w:rPr>
          <w:rFonts w:ascii="仿宋_GB2312" w:eastAsia="仿宋_GB2312"/>
          <w:bCs/>
          <w:color w:val="000000"/>
          <w:sz w:val="32"/>
          <w:szCs w:val="32"/>
        </w:rPr>
      </w:pPr>
      <w:r>
        <w:rPr>
          <w:rFonts w:ascii="仿宋_GB2312" w:eastAsia="仿宋_GB2312" w:hAnsi="仿宋_GB2312" w:cs="仿宋_GB2312" w:hint="eastAsia"/>
          <w:sz w:val="32"/>
          <w:szCs w:val="32"/>
        </w:rPr>
        <w:t>6.</w:t>
      </w:r>
      <w:r>
        <w:rPr>
          <w:rFonts w:ascii="仿宋_GB2312" w:eastAsia="仿宋_GB2312" w:hint="eastAsia"/>
          <w:bCs/>
          <w:color w:val="000000"/>
          <w:sz w:val="32"/>
          <w:szCs w:val="32"/>
        </w:rPr>
        <w:t>文化旅游体育与传媒支出：反映政府在体育方面的支出。</w:t>
      </w:r>
    </w:p>
    <w:p w:rsidR="00E250A2" w:rsidRDefault="00E250A2" w:rsidP="00E250A2">
      <w:pPr>
        <w:spacing w:line="560" w:lineRule="exact"/>
        <w:ind w:firstLineChars="196" w:firstLine="627"/>
        <w:rPr>
          <w:rFonts w:ascii="仿宋_GB2312" w:eastAsia="仿宋_GB2312"/>
          <w:color w:val="000000" w:themeColor="text1"/>
          <w:sz w:val="32"/>
          <w:szCs w:val="32"/>
        </w:rPr>
      </w:pPr>
      <w:r>
        <w:rPr>
          <w:rFonts w:ascii="仿宋_GB2312" w:eastAsia="仿宋_GB2312" w:hint="eastAsia"/>
          <w:color w:val="000000"/>
          <w:sz w:val="32"/>
          <w:szCs w:val="32"/>
        </w:rPr>
        <w:t>7.</w:t>
      </w:r>
      <w:r w:rsidRPr="00043E4F">
        <w:rPr>
          <w:rFonts w:ascii="仿宋_GB2312" w:eastAsia="仿宋_GB2312" w:hint="eastAsia"/>
          <w:color w:val="000000" w:themeColor="text1"/>
          <w:sz w:val="32"/>
          <w:szCs w:val="32"/>
        </w:rPr>
        <w:t xml:space="preserve"> </w:t>
      </w:r>
      <w:r w:rsidRPr="00A11F72">
        <w:rPr>
          <w:rFonts w:ascii="仿宋_GB2312" w:eastAsia="仿宋_GB2312" w:hint="eastAsia"/>
          <w:color w:val="000000" w:themeColor="text1"/>
          <w:sz w:val="32"/>
          <w:szCs w:val="32"/>
        </w:rPr>
        <w:t>文化旅游体育与传媒支出</w:t>
      </w:r>
      <w:r>
        <w:rPr>
          <w:rFonts w:ascii="仿宋_GB2312" w:eastAsia="仿宋_GB2312" w:hint="eastAsia"/>
          <w:color w:val="000000" w:themeColor="text1"/>
          <w:sz w:val="32"/>
          <w:szCs w:val="32"/>
        </w:rPr>
        <w:t>（类）</w:t>
      </w:r>
      <w:r w:rsidRPr="006E0660">
        <w:rPr>
          <w:rFonts w:ascii="仿宋_GB2312" w:eastAsia="仿宋_GB2312" w:hint="eastAsia"/>
          <w:color w:val="000000" w:themeColor="text1"/>
          <w:sz w:val="32"/>
          <w:szCs w:val="32"/>
        </w:rPr>
        <w:t>体育</w:t>
      </w:r>
      <w:r>
        <w:rPr>
          <w:rFonts w:ascii="仿宋_GB2312" w:eastAsia="仿宋_GB2312" w:hint="eastAsia"/>
          <w:color w:val="000000" w:themeColor="text1"/>
          <w:sz w:val="32"/>
          <w:szCs w:val="32"/>
        </w:rPr>
        <w:t>（款）体育训练（项）</w:t>
      </w:r>
      <w:r>
        <w:rPr>
          <w:rFonts w:ascii="仿宋_GB2312" w:eastAsia="仿宋_GB2312" w:hAnsi="宋体" w:cs="宋体" w:hint="eastAsia"/>
          <w:color w:val="000000" w:themeColor="text1"/>
          <w:sz w:val="32"/>
          <w:szCs w:val="32"/>
        </w:rPr>
        <w:t>：</w:t>
      </w:r>
      <w:r>
        <w:rPr>
          <w:rFonts w:ascii="仿宋_GB2312" w:eastAsia="仿宋_GB2312" w:hint="eastAsia"/>
          <w:color w:val="000000" w:themeColor="text1"/>
          <w:sz w:val="32"/>
          <w:szCs w:val="32"/>
        </w:rPr>
        <w:t>反映各级体育运动队训练补助及器材购置等方面的支出。</w:t>
      </w:r>
    </w:p>
    <w:p w:rsidR="00E250A2" w:rsidRDefault="00E250A2" w:rsidP="00E250A2">
      <w:pPr>
        <w:spacing w:line="560" w:lineRule="exact"/>
        <w:ind w:firstLineChars="196" w:firstLine="627"/>
        <w:rPr>
          <w:rFonts w:ascii="仿宋_GB2312" w:eastAsia="仿宋_GB2312" w:hAnsi="仿宋_GB2312" w:cs="仿宋_GB2312" w:hint="eastAsia"/>
          <w:sz w:val="32"/>
          <w:szCs w:val="32"/>
        </w:rPr>
      </w:pPr>
      <w:r>
        <w:rPr>
          <w:rFonts w:hint="eastAsia"/>
          <w:bCs/>
          <w:sz w:val="32"/>
          <w:szCs w:val="32"/>
        </w:rPr>
        <w:t>8.</w:t>
      </w:r>
      <w:r w:rsidRPr="00043E4F">
        <w:rPr>
          <w:rFonts w:ascii="仿宋_GB2312" w:eastAsia="仿宋_GB2312" w:hint="eastAsia"/>
          <w:bCs/>
          <w:color w:val="000000"/>
          <w:sz w:val="32"/>
          <w:szCs w:val="32"/>
        </w:rPr>
        <w:t xml:space="preserve"> </w:t>
      </w:r>
      <w:r>
        <w:rPr>
          <w:rFonts w:ascii="仿宋_GB2312" w:eastAsia="仿宋_GB2312" w:hint="eastAsia"/>
          <w:bCs/>
          <w:color w:val="000000"/>
          <w:sz w:val="32"/>
          <w:szCs w:val="32"/>
        </w:rPr>
        <w:t>其它支出（类）彩票公益金安排的支出（款）用于体育事业的彩票公益金支出（项）：反映用于体育事业的体彩公益金各项支出</w:t>
      </w:r>
      <w:r>
        <w:rPr>
          <w:rFonts w:ascii="仿宋_GB2312" w:eastAsia="仿宋_GB2312" w:hAnsi="仿宋_GB2312" w:cs="仿宋_GB2312" w:hint="eastAsia"/>
          <w:sz w:val="32"/>
          <w:szCs w:val="32"/>
        </w:rPr>
        <w:t>。</w:t>
      </w:r>
    </w:p>
    <w:p w:rsidR="0032236B" w:rsidRDefault="0032236B" w:rsidP="003223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社会保障和就业（类）行政事业单位养老支出（款）机关事业单位基本养老保险缴费支出（项）</w:t>
      </w:r>
      <w:r>
        <w:rPr>
          <w:rFonts w:ascii="仿宋_GB2312" w:eastAsia="仿宋_GB2312" w:hAnsi="仿宋_GB2312" w:cs="仿宋_GB2312" w:hint="eastAsia"/>
          <w:sz w:val="32"/>
          <w:szCs w:val="32"/>
        </w:rPr>
        <w:t>指机关事业单位实施养老保险制度由单位缴纳的基本养老保险费支出。</w:t>
      </w:r>
    </w:p>
    <w:p w:rsidR="0032236B" w:rsidRDefault="0032236B" w:rsidP="003223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.社会保障和就业（类）行政事业单位养老支出（款）机关事业单位职业年金缴费支出（项）指机关事业单位实施养老保险</w:t>
      </w:r>
      <w:r>
        <w:rPr>
          <w:rFonts w:ascii="仿宋_GB2312" w:eastAsia="仿宋_GB2312" w:hAnsi="仿宋_GB2312" w:cs="仿宋_GB2312" w:hint="eastAsia"/>
          <w:sz w:val="32"/>
          <w:szCs w:val="32"/>
        </w:rPr>
        <w:lastRenderedPageBreak/>
        <w:t>制度由单位实际缴纳的职业年金支出。</w:t>
      </w:r>
    </w:p>
    <w:p w:rsidR="0032236B" w:rsidRDefault="0032236B" w:rsidP="003223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.社会保障和就业（类）其他社会保障和就业支出（款）其他社会保障和就业支出（项）指除上述项目以外其他用于社会保障和就业方面的支出。</w:t>
      </w:r>
    </w:p>
    <w:p w:rsidR="0032236B" w:rsidRDefault="0032236B" w:rsidP="003223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卫生健康（类）行政事业单位医疗（款）事业单位医疗（项）</w:t>
      </w:r>
      <w:r>
        <w:rPr>
          <w:rFonts w:ascii="仿宋_GB2312" w:eastAsia="仿宋_GB2312" w:hAnsi="仿宋_GB2312" w:cs="仿宋_GB2312" w:hint="eastAsia"/>
          <w:sz w:val="32"/>
          <w:szCs w:val="32"/>
        </w:rPr>
        <w:t>指财政部门安排的事业单位基本医疗保险缴费经费，未参加医疗保险的事业单位的公费医疗经费，按国家规定享受离退休人员待遇的医疗经费。</w:t>
      </w:r>
    </w:p>
    <w:p w:rsidR="0032236B" w:rsidRPr="0032236B" w:rsidRDefault="0032236B" w:rsidP="0032236B">
      <w:pPr>
        <w:pStyle w:val="Default"/>
        <w:sectPr w:rsidR="0032236B" w:rsidRPr="0032236B">
          <w:footerReference w:type="default" r:id="rId9"/>
          <w:pgSz w:w="11906" w:h="16838"/>
          <w:pgMar w:top="1588" w:right="1418" w:bottom="1418" w:left="1418" w:header="851" w:footer="992" w:gutter="0"/>
          <w:pgNumType w:start="1"/>
          <w:cols w:space="425"/>
          <w:docGrid w:type="lines" w:linePitch="312"/>
        </w:sectPr>
      </w:pPr>
      <w:bookmarkStart w:id="0" w:name="_GoBack"/>
      <w:bookmarkEnd w:id="0"/>
    </w:p>
    <w:p w:rsidR="00745EE0" w:rsidRDefault="000553FC">
      <w:pPr>
        <w:pStyle w:val="Default"/>
        <w:rPr>
          <w:rFonts w:hint="default"/>
        </w:rPr>
      </w:pPr>
      <w:r>
        <w:rPr>
          <w:noProof/>
        </w:rPr>
        <w:lastRenderedPageBreak/>
        <w:drawing>
          <wp:inline distT="0" distB="0" distL="114300" distR="114300" wp14:anchorId="454EFF8C" wp14:editId="02AE6652">
            <wp:extent cx="8862060" cy="5233670"/>
            <wp:effectExtent l="0" t="0" r="1524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8862060" cy="5233670"/>
                    </a:xfrm>
                    <a:prstGeom prst="rect">
                      <a:avLst/>
                    </a:prstGeom>
                    <a:noFill/>
                    <a:ln>
                      <a:noFill/>
                    </a:ln>
                  </pic:spPr>
                </pic:pic>
              </a:graphicData>
            </a:graphic>
          </wp:inline>
        </w:drawing>
      </w:r>
    </w:p>
    <w:p w:rsidR="00745EE0" w:rsidRDefault="000553FC">
      <w:pPr>
        <w:pStyle w:val="Default"/>
        <w:rPr>
          <w:rFonts w:hint="default"/>
        </w:rPr>
      </w:pPr>
      <w:r>
        <w:rPr>
          <w:noProof/>
        </w:rPr>
        <w:lastRenderedPageBreak/>
        <w:drawing>
          <wp:inline distT="0" distB="0" distL="114300" distR="114300" wp14:anchorId="7797FDB3" wp14:editId="1CECB8CA">
            <wp:extent cx="8858250" cy="1574165"/>
            <wp:effectExtent l="0" t="0" r="0"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8858250" cy="1574165"/>
                    </a:xfrm>
                    <a:prstGeom prst="rect">
                      <a:avLst/>
                    </a:prstGeom>
                    <a:noFill/>
                    <a:ln>
                      <a:noFill/>
                    </a:ln>
                  </pic:spPr>
                </pic:pic>
              </a:graphicData>
            </a:graphic>
          </wp:inline>
        </w:drawing>
      </w: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745EE0">
      <w:pPr>
        <w:pStyle w:val="Default"/>
        <w:rPr>
          <w:rFonts w:hint="default"/>
        </w:rPr>
      </w:pPr>
    </w:p>
    <w:p w:rsidR="00745EE0" w:rsidRDefault="000553FC">
      <w:pPr>
        <w:pStyle w:val="Default"/>
        <w:rPr>
          <w:rFonts w:hint="default"/>
        </w:rPr>
      </w:pPr>
      <w:r>
        <w:rPr>
          <w:noProof/>
        </w:rPr>
        <w:lastRenderedPageBreak/>
        <w:drawing>
          <wp:inline distT="0" distB="0" distL="114300" distR="114300" wp14:anchorId="4079D20F" wp14:editId="1C7C5787">
            <wp:extent cx="8860790" cy="5342255"/>
            <wp:effectExtent l="0" t="0" r="1651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8860790" cy="5342255"/>
                    </a:xfrm>
                    <a:prstGeom prst="rect">
                      <a:avLst/>
                    </a:prstGeom>
                    <a:noFill/>
                    <a:ln>
                      <a:noFill/>
                    </a:ln>
                  </pic:spPr>
                </pic:pic>
              </a:graphicData>
            </a:graphic>
          </wp:inline>
        </w:drawing>
      </w:r>
    </w:p>
    <w:p w:rsidR="00745EE0" w:rsidRDefault="000553FC">
      <w:pPr>
        <w:pStyle w:val="Default"/>
        <w:rPr>
          <w:rFonts w:hint="default"/>
        </w:rPr>
      </w:pPr>
      <w:r>
        <w:rPr>
          <w:noProof/>
        </w:rPr>
        <w:lastRenderedPageBreak/>
        <w:drawing>
          <wp:inline distT="0" distB="0" distL="114300" distR="114300" wp14:anchorId="693693DB" wp14:editId="6DD33324">
            <wp:extent cx="8862060" cy="5458460"/>
            <wp:effectExtent l="0" t="0" r="15240" b="889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3"/>
                    <a:stretch>
                      <a:fillRect/>
                    </a:stretch>
                  </pic:blipFill>
                  <pic:spPr>
                    <a:xfrm>
                      <a:off x="0" y="0"/>
                      <a:ext cx="8862060" cy="5458460"/>
                    </a:xfrm>
                    <a:prstGeom prst="rect">
                      <a:avLst/>
                    </a:prstGeom>
                    <a:noFill/>
                    <a:ln>
                      <a:noFill/>
                    </a:ln>
                  </pic:spPr>
                </pic:pic>
              </a:graphicData>
            </a:graphic>
          </wp:inline>
        </w:drawing>
      </w:r>
    </w:p>
    <w:p w:rsidR="00745EE0" w:rsidRDefault="00745EE0">
      <w:pPr>
        <w:pStyle w:val="Default"/>
        <w:rPr>
          <w:rFonts w:hint="default"/>
        </w:rPr>
        <w:sectPr w:rsidR="00745EE0">
          <w:footerReference w:type="default" r:id="rId14"/>
          <w:pgSz w:w="16838" w:h="11906" w:orient="landscape"/>
          <w:pgMar w:top="1800" w:right="1440" w:bottom="1800" w:left="1440" w:header="851" w:footer="992" w:gutter="0"/>
          <w:pgNumType w:start="6"/>
          <w:cols w:space="425"/>
          <w:docGrid w:type="lines" w:linePitch="312"/>
        </w:sectPr>
      </w:pPr>
    </w:p>
    <w:p w:rsidR="00745EE0" w:rsidRDefault="000553FC">
      <w:pPr>
        <w:pStyle w:val="Default"/>
        <w:tabs>
          <w:tab w:val="right" w:pos="11996"/>
        </w:tabs>
        <w:rPr>
          <w:rFonts w:hint="default"/>
        </w:rPr>
        <w:sectPr w:rsidR="00745EE0">
          <w:pgSz w:w="16838" w:h="11906" w:orient="landscape"/>
          <w:pgMar w:top="0" w:right="1440" w:bottom="0" w:left="2835" w:header="851" w:footer="992" w:gutter="0"/>
          <w:pgNumType w:start="6"/>
          <w:cols w:space="425"/>
          <w:docGrid w:type="lines" w:linePitch="312"/>
        </w:sectPr>
      </w:pPr>
      <w:r>
        <w:rPr>
          <w:noProof/>
        </w:rPr>
        <w:lastRenderedPageBreak/>
        <w:drawing>
          <wp:inline distT="0" distB="0" distL="114300" distR="114300">
            <wp:extent cx="6464300" cy="7228205"/>
            <wp:effectExtent l="0" t="0" r="12700" b="1079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5"/>
                    <a:stretch>
                      <a:fillRect/>
                    </a:stretch>
                  </pic:blipFill>
                  <pic:spPr>
                    <a:xfrm>
                      <a:off x="0" y="0"/>
                      <a:ext cx="6464300" cy="7228205"/>
                    </a:xfrm>
                    <a:prstGeom prst="rect">
                      <a:avLst/>
                    </a:prstGeom>
                    <a:noFill/>
                    <a:ln>
                      <a:noFill/>
                    </a:ln>
                  </pic:spPr>
                </pic:pic>
              </a:graphicData>
            </a:graphic>
          </wp:inline>
        </w:drawing>
      </w:r>
      <w:r>
        <w:tab/>
      </w:r>
    </w:p>
    <w:p w:rsidR="00745EE0" w:rsidRDefault="00745EE0">
      <w:pPr>
        <w:pStyle w:val="Default"/>
        <w:tabs>
          <w:tab w:val="right" w:pos="11996"/>
        </w:tabs>
        <w:rPr>
          <w:rFonts w:hint="default"/>
        </w:rPr>
      </w:pPr>
    </w:p>
    <w:p w:rsidR="00745EE0" w:rsidRDefault="000553FC">
      <w:pPr>
        <w:pStyle w:val="Default"/>
        <w:tabs>
          <w:tab w:val="right" w:pos="11996"/>
        </w:tabs>
        <w:rPr>
          <w:rFonts w:hint="default"/>
        </w:rPr>
      </w:pPr>
      <w:r>
        <w:rPr>
          <w:noProof/>
        </w:rPr>
        <w:drawing>
          <wp:inline distT="0" distB="0" distL="114300" distR="114300">
            <wp:extent cx="7734300" cy="2695575"/>
            <wp:effectExtent l="0" t="0" r="0" b="952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6"/>
                    <a:stretch>
                      <a:fillRect/>
                    </a:stretch>
                  </pic:blipFill>
                  <pic:spPr>
                    <a:xfrm>
                      <a:off x="0" y="0"/>
                      <a:ext cx="7734300" cy="2695575"/>
                    </a:xfrm>
                    <a:prstGeom prst="rect">
                      <a:avLst/>
                    </a:prstGeom>
                    <a:noFill/>
                    <a:ln>
                      <a:noFill/>
                    </a:ln>
                  </pic:spPr>
                </pic:pic>
              </a:graphicData>
            </a:graphic>
          </wp:inline>
        </w:drawing>
      </w: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0553FC">
      <w:pPr>
        <w:pStyle w:val="Default"/>
        <w:tabs>
          <w:tab w:val="right" w:pos="11996"/>
        </w:tabs>
        <w:rPr>
          <w:rFonts w:hint="default"/>
        </w:rPr>
      </w:pPr>
      <w:r>
        <w:rPr>
          <w:noProof/>
        </w:rPr>
        <w:lastRenderedPageBreak/>
        <w:drawing>
          <wp:inline distT="0" distB="0" distL="114300" distR="114300">
            <wp:extent cx="7969250" cy="2296160"/>
            <wp:effectExtent l="0" t="0" r="12700" b="889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7"/>
                    <a:stretch>
                      <a:fillRect/>
                    </a:stretch>
                  </pic:blipFill>
                  <pic:spPr>
                    <a:xfrm>
                      <a:off x="0" y="0"/>
                      <a:ext cx="7969250" cy="2296160"/>
                    </a:xfrm>
                    <a:prstGeom prst="rect">
                      <a:avLst/>
                    </a:prstGeom>
                    <a:noFill/>
                    <a:ln>
                      <a:noFill/>
                    </a:ln>
                  </pic:spPr>
                </pic:pic>
              </a:graphicData>
            </a:graphic>
          </wp:inline>
        </w:drawing>
      </w: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0553FC">
      <w:pPr>
        <w:pStyle w:val="Default"/>
        <w:tabs>
          <w:tab w:val="right" w:pos="11996"/>
        </w:tabs>
        <w:rPr>
          <w:rFonts w:hint="default"/>
        </w:rPr>
      </w:pPr>
      <w:r>
        <w:rPr>
          <w:noProof/>
        </w:rPr>
        <w:lastRenderedPageBreak/>
        <w:drawing>
          <wp:inline distT="0" distB="0" distL="114300" distR="114300">
            <wp:extent cx="8333740" cy="1918335"/>
            <wp:effectExtent l="0" t="0" r="10160" b="571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8"/>
                    <a:stretch>
                      <a:fillRect/>
                    </a:stretch>
                  </pic:blipFill>
                  <pic:spPr>
                    <a:xfrm>
                      <a:off x="0" y="0"/>
                      <a:ext cx="8333740" cy="1918335"/>
                    </a:xfrm>
                    <a:prstGeom prst="rect">
                      <a:avLst/>
                    </a:prstGeom>
                    <a:noFill/>
                    <a:ln>
                      <a:noFill/>
                    </a:ln>
                  </pic:spPr>
                </pic:pic>
              </a:graphicData>
            </a:graphic>
          </wp:inline>
        </w:drawing>
      </w: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745EE0">
      <w:pPr>
        <w:pStyle w:val="Default"/>
        <w:tabs>
          <w:tab w:val="right" w:pos="11996"/>
        </w:tabs>
        <w:rPr>
          <w:rFonts w:hint="default"/>
        </w:rPr>
      </w:pPr>
    </w:p>
    <w:p w:rsidR="00745EE0" w:rsidRDefault="000553FC">
      <w:pPr>
        <w:pStyle w:val="Default"/>
        <w:tabs>
          <w:tab w:val="right" w:pos="11996"/>
        </w:tabs>
        <w:rPr>
          <w:rFonts w:hint="default"/>
        </w:rPr>
      </w:pPr>
      <w:r>
        <w:rPr>
          <w:noProof/>
        </w:rPr>
        <w:lastRenderedPageBreak/>
        <w:drawing>
          <wp:inline distT="0" distB="0" distL="114300" distR="114300">
            <wp:extent cx="8335010" cy="2424430"/>
            <wp:effectExtent l="0" t="0" r="8890" b="1397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9"/>
                    <a:stretch>
                      <a:fillRect/>
                    </a:stretch>
                  </pic:blipFill>
                  <pic:spPr>
                    <a:xfrm>
                      <a:off x="0" y="0"/>
                      <a:ext cx="8335010" cy="2424430"/>
                    </a:xfrm>
                    <a:prstGeom prst="rect">
                      <a:avLst/>
                    </a:prstGeom>
                    <a:noFill/>
                    <a:ln>
                      <a:noFill/>
                    </a:ln>
                  </pic:spPr>
                </pic:pic>
              </a:graphicData>
            </a:graphic>
          </wp:inline>
        </w:drawing>
      </w:r>
    </w:p>
    <w:sectPr w:rsidR="00745EE0">
      <w:pgSz w:w="16838" w:h="11906" w:orient="landscape"/>
      <w:pgMar w:top="1304" w:right="1440" w:bottom="1304" w:left="2268" w:header="851" w:footer="992" w:gutter="0"/>
      <w:pgNumType w:start="6"/>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C6" w:rsidRDefault="008032C6">
      <w:r>
        <w:separator/>
      </w:r>
    </w:p>
  </w:endnote>
  <w:endnote w:type="continuationSeparator" w:id="0">
    <w:p w:rsidR="008032C6" w:rsidRDefault="0080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楷体_GB2312">
    <w:altName w:val="汉仪楷体KW"/>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03061"/>
      <w:docPartObj>
        <w:docPartGallery w:val="AutoText"/>
      </w:docPartObj>
    </w:sdtPr>
    <w:sdtEndPr/>
    <w:sdtContent>
      <w:p w:rsidR="00E250A2" w:rsidRDefault="00E250A2">
        <w:pPr>
          <w:pStyle w:val="a4"/>
          <w:jc w:val="center"/>
        </w:pPr>
        <w:r>
          <w:fldChar w:fldCharType="begin"/>
        </w:r>
        <w:r>
          <w:instrText>PAGE   \* MERGEFORMAT</w:instrText>
        </w:r>
        <w:r>
          <w:fldChar w:fldCharType="separate"/>
        </w:r>
        <w:r w:rsidR="0032236B" w:rsidRPr="0032236B">
          <w:rPr>
            <w:noProof/>
            <w:lang w:val="zh-CN"/>
          </w:rPr>
          <w:t>1</w:t>
        </w:r>
        <w:r>
          <w:fldChar w:fldCharType="end"/>
        </w:r>
      </w:p>
    </w:sdtContent>
  </w:sdt>
  <w:p w:rsidR="00E250A2" w:rsidRDefault="00E250A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717175"/>
      <w:docPartObj>
        <w:docPartGallery w:val="AutoText"/>
      </w:docPartObj>
    </w:sdtPr>
    <w:sdtEndPr/>
    <w:sdtContent>
      <w:p w:rsidR="00745EE0" w:rsidRDefault="000553FC">
        <w:pPr>
          <w:pStyle w:val="a4"/>
          <w:jc w:val="center"/>
        </w:pPr>
        <w:r>
          <w:fldChar w:fldCharType="begin"/>
        </w:r>
        <w:r>
          <w:instrText>PAGE   \* MERGEFORMAT</w:instrText>
        </w:r>
        <w:r>
          <w:fldChar w:fldCharType="separate"/>
        </w:r>
        <w:r w:rsidR="0032236B" w:rsidRPr="0032236B">
          <w:rPr>
            <w:noProof/>
            <w:lang w:val="zh-CN"/>
          </w:rPr>
          <w:t>9</w:t>
        </w:r>
        <w:r>
          <w:fldChar w:fldCharType="end"/>
        </w:r>
      </w:p>
    </w:sdtContent>
  </w:sdt>
  <w:p w:rsidR="00745EE0" w:rsidRDefault="00745E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C6" w:rsidRDefault="008032C6">
      <w:r>
        <w:separator/>
      </w:r>
    </w:p>
  </w:footnote>
  <w:footnote w:type="continuationSeparator" w:id="0">
    <w:p w:rsidR="008032C6" w:rsidRDefault="00803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MzBiZTgzYTFkZDBmOWVjYzQzOGM1MzZlZjJhZWEifQ=="/>
  </w:docVars>
  <w:rsids>
    <w:rsidRoot w:val="00926BF5"/>
    <w:rsid w:val="A4EFBF90"/>
    <w:rsid w:val="AFFD9F88"/>
    <w:rsid w:val="BA7D2319"/>
    <w:rsid w:val="BB7E2F4C"/>
    <w:rsid w:val="BBBFE1BE"/>
    <w:rsid w:val="BBFB80D7"/>
    <w:rsid w:val="C73CFE10"/>
    <w:rsid w:val="C7EC0F46"/>
    <w:rsid w:val="CFAF7AFD"/>
    <w:rsid w:val="DEFFEF20"/>
    <w:rsid w:val="DFAFC5B6"/>
    <w:rsid w:val="DFFFE862"/>
    <w:rsid w:val="E66AD4B1"/>
    <w:rsid w:val="E7FF0B81"/>
    <w:rsid w:val="EBFCAC2C"/>
    <w:rsid w:val="EF3D605F"/>
    <w:rsid w:val="EFFE56DC"/>
    <w:rsid w:val="F2F1E07F"/>
    <w:rsid w:val="F2F9A87E"/>
    <w:rsid w:val="FC35808B"/>
    <w:rsid w:val="FDB31AF6"/>
    <w:rsid w:val="FE45D110"/>
    <w:rsid w:val="FEF8F2E0"/>
    <w:rsid w:val="FF7333E8"/>
    <w:rsid w:val="FFBA12EB"/>
    <w:rsid w:val="FFF7A5F1"/>
    <w:rsid w:val="FFFD7011"/>
    <w:rsid w:val="000553FC"/>
    <w:rsid w:val="000B155B"/>
    <w:rsid w:val="0032236B"/>
    <w:rsid w:val="00571EBB"/>
    <w:rsid w:val="005C19CE"/>
    <w:rsid w:val="005C63DE"/>
    <w:rsid w:val="00745EE0"/>
    <w:rsid w:val="008032C6"/>
    <w:rsid w:val="00926BF5"/>
    <w:rsid w:val="009B1D86"/>
    <w:rsid w:val="009C3866"/>
    <w:rsid w:val="00A25FFE"/>
    <w:rsid w:val="00A54F20"/>
    <w:rsid w:val="00A77A61"/>
    <w:rsid w:val="00B17021"/>
    <w:rsid w:val="00CA5B62"/>
    <w:rsid w:val="00DD6E1C"/>
    <w:rsid w:val="00E250A2"/>
    <w:rsid w:val="00E45521"/>
    <w:rsid w:val="00E53029"/>
    <w:rsid w:val="00E6603F"/>
    <w:rsid w:val="01863138"/>
    <w:rsid w:val="01C738CB"/>
    <w:rsid w:val="03691066"/>
    <w:rsid w:val="0432483D"/>
    <w:rsid w:val="0A665ECD"/>
    <w:rsid w:val="0C014F6D"/>
    <w:rsid w:val="0CF52174"/>
    <w:rsid w:val="114C6BFF"/>
    <w:rsid w:val="11641E21"/>
    <w:rsid w:val="125B4450"/>
    <w:rsid w:val="148A1DF0"/>
    <w:rsid w:val="15EC252C"/>
    <w:rsid w:val="16EF5067"/>
    <w:rsid w:val="17FF5037"/>
    <w:rsid w:val="18AD554C"/>
    <w:rsid w:val="1D4B3AB7"/>
    <w:rsid w:val="1ED74D17"/>
    <w:rsid w:val="2212198A"/>
    <w:rsid w:val="245B3CCB"/>
    <w:rsid w:val="24DB720B"/>
    <w:rsid w:val="24F7427D"/>
    <w:rsid w:val="255258CA"/>
    <w:rsid w:val="27AF99D0"/>
    <w:rsid w:val="290C6959"/>
    <w:rsid w:val="2A5A2256"/>
    <w:rsid w:val="2AFE3F72"/>
    <w:rsid w:val="32FF21F7"/>
    <w:rsid w:val="353E1DF4"/>
    <w:rsid w:val="3787034C"/>
    <w:rsid w:val="39C7B2DC"/>
    <w:rsid w:val="3B73ECAC"/>
    <w:rsid w:val="3C5A039E"/>
    <w:rsid w:val="3E054CA0"/>
    <w:rsid w:val="3E663D4F"/>
    <w:rsid w:val="3F86087E"/>
    <w:rsid w:val="3FF778EB"/>
    <w:rsid w:val="4053179D"/>
    <w:rsid w:val="41260B4E"/>
    <w:rsid w:val="4413460B"/>
    <w:rsid w:val="479F1816"/>
    <w:rsid w:val="4AFA32A4"/>
    <w:rsid w:val="4DEA4CF4"/>
    <w:rsid w:val="50AC6FDA"/>
    <w:rsid w:val="53C705BF"/>
    <w:rsid w:val="53CF6FA2"/>
    <w:rsid w:val="54C31518"/>
    <w:rsid w:val="54EF499E"/>
    <w:rsid w:val="56432923"/>
    <w:rsid w:val="57D45B2D"/>
    <w:rsid w:val="59A078DC"/>
    <w:rsid w:val="5BF9A05E"/>
    <w:rsid w:val="5CA47F6C"/>
    <w:rsid w:val="5EEFD4B0"/>
    <w:rsid w:val="5F1326B2"/>
    <w:rsid w:val="691D5B26"/>
    <w:rsid w:val="6BBE6100"/>
    <w:rsid w:val="6CBFAB2E"/>
    <w:rsid w:val="6DD20DE7"/>
    <w:rsid w:val="702436C6"/>
    <w:rsid w:val="71071882"/>
    <w:rsid w:val="7127621E"/>
    <w:rsid w:val="753064B9"/>
    <w:rsid w:val="759C24D2"/>
    <w:rsid w:val="76442312"/>
    <w:rsid w:val="76DFF3BC"/>
    <w:rsid w:val="77FF0865"/>
    <w:rsid w:val="77FFC04D"/>
    <w:rsid w:val="79AD5421"/>
    <w:rsid w:val="7A480529"/>
    <w:rsid w:val="7B7F4ADB"/>
    <w:rsid w:val="7BAF2D93"/>
    <w:rsid w:val="7CDF3BD2"/>
    <w:rsid w:val="7CFB18E8"/>
    <w:rsid w:val="7DBFC2EB"/>
    <w:rsid w:val="7EFFAD84"/>
    <w:rsid w:val="7F3F7849"/>
    <w:rsid w:val="7FD69C4C"/>
    <w:rsid w:val="7FE3062C"/>
    <w:rsid w:val="7FE533F5"/>
    <w:rsid w:val="8FCBC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 w:type="character" w:styleId="a7">
    <w:name w:val="Strong"/>
    <w:basedOn w:val="a0"/>
    <w:qFormat/>
    <w:rPr>
      <w:b/>
      <w:bCs/>
    </w:rPr>
  </w:style>
  <w:style w:type="character" w:styleId="a8">
    <w:name w:val="page number"/>
    <w:basedOn w:val="a0"/>
    <w:qFormat/>
  </w:style>
  <w:style w:type="character" w:styleId="a9">
    <w:name w:val="FollowedHyperlink"/>
    <w:basedOn w:val="a0"/>
    <w:qFormat/>
    <w:rPr>
      <w:color w:val="800080"/>
      <w:u w:val="none"/>
    </w:rPr>
  </w:style>
  <w:style w:type="character" w:styleId="HTML">
    <w:name w:val="HTML Definition"/>
    <w:basedOn w:val="a0"/>
    <w:qFormat/>
  </w:style>
  <w:style w:type="character" w:styleId="HTML0">
    <w:name w:val="HTML Variable"/>
    <w:basedOn w:val="a0"/>
    <w:qFormat/>
  </w:style>
  <w:style w:type="character" w:styleId="aa">
    <w:name w:val="Hyperlink"/>
    <w:basedOn w:val="a0"/>
    <w:qFormat/>
    <w:rPr>
      <w:color w:val="0000FF"/>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customStyle="1" w:styleId="Char1">
    <w:name w:val="Char"/>
    <w:basedOn w:val="a"/>
    <w:qFormat/>
    <w:rPr>
      <w:rFonts w:ascii="宋体" w:hAnsi="宋体" w:cs="Courier New"/>
      <w:sz w:val="32"/>
      <w:szCs w:val="32"/>
    </w:rPr>
  </w:style>
  <w:style w:type="paragraph" w:customStyle="1" w:styleId="Char10">
    <w:name w:val="Char1"/>
    <w:basedOn w:val="a"/>
    <w:qFormat/>
  </w:style>
  <w:style w:type="paragraph" w:customStyle="1" w:styleId="p0">
    <w:name w:val="p0"/>
    <w:basedOn w:val="a"/>
    <w:qFormat/>
    <w:pPr>
      <w:widowControl/>
    </w:pPr>
    <w:rPr>
      <w:kern w:val="0"/>
      <w:szCs w:val="21"/>
    </w:rPr>
  </w:style>
  <w:style w:type="character" w:customStyle="1" w:styleId="item-middle">
    <w:name w:val="item-middle"/>
    <w:basedOn w:val="a0"/>
    <w:qFormat/>
  </w:style>
  <w:style w:type="character" w:customStyle="1" w:styleId="image">
    <w:name w:val="image"/>
    <w:basedOn w:val="a0"/>
    <w:qFormat/>
  </w:style>
  <w:style w:type="character" w:customStyle="1" w:styleId="image2">
    <w:name w:val="image2"/>
    <w:basedOn w:val="a0"/>
    <w:qFormat/>
  </w:style>
  <w:style w:type="character" w:customStyle="1" w:styleId="image3">
    <w:name w:val="image3"/>
    <w:basedOn w:val="a0"/>
    <w:qFormat/>
  </w:style>
  <w:style w:type="character" w:customStyle="1" w:styleId="ui-state-hover21">
    <w:name w:val="ui-state-hover21"/>
    <w:basedOn w:val="a0"/>
    <w:qFormat/>
  </w:style>
  <w:style w:type="character" w:customStyle="1" w:styleId="ui-state-active5">
    <w:name w:val="ui-state-active5"/>
    <w:basedOn w:val="a0"/>
    <w:qFormat/>
  </w:style>
  <w:style w:type="character" w:customStyle="1" w:styleId="ui-state-default12">
    <w:name w:val="ui-state-default12"/>
    <w:basedOn w:val="a0"/>
    <w:qFormat/>
  </w:style>
  <w:style w:type="character" w:customStyle="1" w:styleId="ui-state-default13">
    <w:name w:val="ui-state-default13"/>
    <w:basedOn w:val="a0"/>
    <w:qFormat/>
  </w:style>
  <w:style w:type="character" w:customStyle="1" w:styleId="clicked1">
    <w:name w:val="clicked1"/>
    <w:basedOn w:val="a0"/>
    <w:qFormat/>
    <w:rPr>
      <w:color w:val="000000"/>
    </w:rPr>
  </w:style>
  <w:style w:type="character" w:customStyle="1" w:styleId="clicked2">
    <w:name w:val="clicked2"/>
    <w:basedOn w:val="a0"/>
    <w:qFormat/>
  </w:style>
  <w:style w:type="character" w:customStyle="1" w:styleId="clicked3">
    <w:name w:val="clicked3"/>
    <w:basedOn w:val="a0"/>
    <w:qFormat/>
  </w:style>
  <w:style w:type="character" w:customStyle="1" w:styleId="button-hover">
    <w:name w:val="button-hover"/>
    <w:basedOn w:val="a0"/>
    <w:qFormat/>
  </w:style>
  <w:style w:type="character" w:customStyle="1" w:styleId="button-hover1">
    <w:name w:val="button-hover1"/>
    <w:basedOn w:val="a0"/>
    <w:qFormat/>
  </w:style>
  <w:style w:type="character" w:customStyle="1" w:styleId="group">
    <w:name w:val="group"/>
    <w:basedOn w:val="a0"/>
    <w:qFormat/>
  </w:style>
  <w:style w:type="character" w:customStyle="1" w:styleId="directchildrenspan">
    <w:name w:val="directchildrenspan"/>
    <w:basedOn w:val="a0"/>
    <w:qFormat/>
  </w:style>
  <w:style w:type="character" w:customStyle="1" w:styleId="imgspan">
    <w:name w:val="imgspan"/>
    <w:basedOn w:val="a0"/>
    <w:qFormat/>
  </w:style>
  <w:style w:type="character" w:customStyle="1" w:styleId="ui-icon34">
    <w:name w:val="ui-icon34"/>
    <w:basedOn w:val="a0"/>
    <w:qFormat/>
  </w:style>
  <w:style w:type="character" w:customStyle="1" w:styleId="newstitle">
    <w:name w:val="newstitle"/>
    <w:basedOn w:val="a0"/>
    <w:qFormat/>
    <w:rPr>
      <w:b/>
      <w:color w:val="000000"/>
      <w:sz w:val="24"/>
      <w:szCs w:val="24"/>
    </w:rPr>
  </w:style>
  <w:style w:type="character" w:customStyle="1" w:styleId="ui-state-hover">
    <w:name w:val="ui-state-hover"/>
    <w:basedOn w:val="a0"/>
    <w:qFormat/>
  </w:style>
  <w:style w:type="character" w:customStyle="1" w:styleId="image1">
    <w:name w:val="image1"/>
    <w:basedOn w:val="a0"/>
    <w:qFormat/>
  </w:style>
  <w:style w:type="character" w:customStyle="1" w:styleId="clicked">
    <w:name w:val="clicked"/>
    <w:basedOn w:val="a0"/>
    <w:qFormat/>
  </w:style>
  <w:style w:type="character" w:customStyle="1" w:styleId="ui-state-active">
    <w:name w:val="ui-state-active"/>
    <w:basedOn w:val="a0"/>
    <w:qFormat/>
  </w:style>
  <w:style w:type="character" w:customStyle="1" w:styleId="ui-icon33">
    <w:name w:val="ui-icon33"/>
    <w:basedOn w:val="a0"/>
    <w:qFormat/>
  </w:style>
  <w:style w:type="character" w:customStyle="1" w:styleId="ui-state-active6">
    <w:name w:val="ui-state-active6"/>
    <w:basedOn w:val="a0"/>
    <w:qFormat/>
  </w:style>
  <w:style w:type="character" w:customStyle="1" w:styleId="Char">
    <w:name w:val="批注框文本 Char"/>
    <w:basedOn w:val="a0"/>
    <w:link w:val="a3"/>
    <w:rPr>
      <w:kern w:val="2"/>
      <w:sz w:val="18"/>
      <w:szCs w:val="18"/>
    </w:rPr>
  </w:style>
  <w:style w:type="character" w:customStyle="1" w:styleId="Char0">
    <w:name w:val="页脚 Char"/>
    <w:basedOn w:val="a0"/>
    <w:link w:val="a4"/>
    <w:uiPriority w:val="99"/>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 w:type="character" w:styleId="a7">
    <w:name w:val="Strong"/>
    <w:basedOn w:val="a0"/>
    <w:qFormat/>
    <w:rPr>
      <w:b/>
      <w:bCs/>
    </w:rPr>
  </w:style>
  <w:style w:type="character" w:styleId="a8">
    <w:name w:val="page number"/>
    <w:basedOn w:val="a0"/>
    <w:qFormat/>
  </w:style>
  <w:style w:type="character" w:styleId="a9">
    <w:name w:val="FollowedHyperlink"/>
    <w:basedOn w:val="a0"/>
    <w:qFormat/>
    <w:rPr>
      <w:color w:val="800080"/>
      <w:u w:val="none"/>
    </w:rPr>
  </w:style>
  <w:style w:type="character" w:styleId="HTML">
    <w:name w:val="HTML Definition"/>
    <w:basedOn w:val="a0"/>
    <w:qFormat/>
  </w:style>
  <w:style w:type="character" w:styleId="HTML0">
    <w:name w:val="HTML Variable"/>
    <w:basedOn w:val="a0"/>
    <w:qFormat/>
  </w:style>
  <w:style w:type="character" w:styleId="aa">
    <w:name w:val="Hyperlink"/>
    <w:basedOn w:val="a0"/>
    <w:qFormat/>
    <w:rPr>
      <w:color w:val="0000FF"/>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customStyle="1" w:styleId="Char1">
    <w:name w:val="Char"/>
    <w:basedOn w:val="a"/>
    <w:qFormat/>
    <w:rPr>
      <w:rFonts w:ascii="宋体" w:hAnsi="宋体" w:cs="Courier New"/>
      <w:sz w:val="32"/>
      <w:szCs w:val="32"/>
    </w:rPr>
  </w:style>
  <w:style w:type="paragraph" w:customStyle="1" w:styleId="Char10">
    <w:name w:val="Char1"/>
    <w:basedOn w:val="a"/>
    <w:qFormat/>
  </w:style>
  <w:style w:type="paragraph" w:customStyle="1" w:styleId="p0">
    <w:name w:val="p0"/>
    <w:basedOn w:val="a"/>
    <w:qFormat/>
    <w:pPr>
      <w:widowControl/>
    </w:pPr>
    <w:rPr>
      <w:kern w:val="0"/>
      <w:szCs w:val="21"/>
    </w:rPr>
  </w:style>
  <w:style w:type="character" w:customStyle="1" w:styleId="item-middle">
    <w:name w:val="item-middle"/>
    <w:basedOn w:val="a0"/>
    <w:qFormat/>
  </w:style>
  <w:style w:type="character" w:customStyle="1" w:styleId="image">
    <w:name w:val="image"/>
    <w:basedOn w:val="a0"/>
    <w:qFormat/>
  </w:style>
  <w:style w:type="character" w:customStyle="1" w:styleId="image2">
    <w:name w:val="image2"/>
    <w:basedOn w:val="a0"/>
    <w:qFormat/>
  </w:style>
  <w:style w:type="character" w:customStyle="1" w:styleId="image3">
    <w:name w:val="image3"/>
    <w:basedOn w:val="a0"/>
    <w:qFormat/>
  </w:style>
  <w:style w:type="character" w:customStyle="1" w:styleId="ui-state-hover21">
    <w:name w:val="ui-state-hover21"/>
    <w:basedOn w:val="a0"/>
    <w:qFormat/>
  </w:style>
  <w:style w:type="character" w:customStyle="1" w:styleId="ui-state-active5">
    <w:name w:val="ui-state-active5"/>
    <w:basedOn w:val="a0"/>
    <w:qFormat/>
  </w:style>
  <w:style w:type="character" w:customStyle="1" w:styleId="ui-state-default12">
    <w:name w:val="ui-state-default12"/>
    <w:basedOn w:val="a0"/>
    <w:qFormat/>
  </w:style>
  <w:style w:type="character" w:customStyle="1" w:styleId="ui-state-default13">
    <w:name w:val="ui-state-default13"/>
    <w:basedOn w:val="a0"/>
    <w:qFormat/>
  </w:style>
  <w:style w:type="character" w:customStyle="1" w:styleId="clicked1">
    <w:name w:val="clicked1"/>
    <w:basedOn w:val="a0"/>
    <w:qFormat/>
    <w:rPr>
      <w:color w:val="000000"/>
    </w:rPr>
  </w:style>
  <w:style w:type="character" w:customStyle="1" w:styleId="clicked2">
    <w:name w:val="clicked2"/>
    <w:basedOn w:val="a0"/>
    <w:qFormat/>
  </w:style>
  <w:style w:type="character" w:customStyle="1" w:styleId="clicked3">
    <w:name w:val="clicked3"/>
    <w:basedOn w:val="a0"/>
    <w:qFormat/>
  </w:style>
  <w:style w:type="character" w:customStyle="1" w:styleId="button-hover">
    <w:name w:val="button-hover"/>
    <w:basedOn w:val="a0"/>
    <w:qFormat/>
  </w:style>
  <w:style w:type="character" w:customStyle="1" w:styleId="button-hover1">
    <w:name w:val="button-hover1"/>
    <w:basedOn w:val="a0"/>
    <w:qFormat/>
  </w:style>
  <w:style w:type="character" w:customStyle="1" w:styleId="group">
    <w:name w:val="group"/>
    <w:basedOn w:val="a0"/>
    <w:qFormat/>
  </w:style>
  <w:style w:type="character" w:customStyle="1" w:styleId="directchildrenspan">
    <w:name w:val="directchildrenspan"/>
    <w:basedOn w:val="a0"/>
    <w:qFormat/>
  </w:style>
  <w:style w:type="character" w:customStyle="1" w:styleId="imgspan">
    <w:name w:val="imgspan"/>
    <w:basedOn w:val="a0"/>
    <w:qFormat/>
  </w:style>
  <w:style w:type="character" w:customStyle="1" w:styleId="ui-icon34">
    <w:name w:val="ui-icon34"/>
    <w:basedOn w:val="a0"/>
    <w:qFormat/>
  </w:style>
  <w:style w:type="character" w:customStyle="1" w:styleId="newstitle">
    <w:name w:val="newstitle"/>
    <w:basedOn w:val="a0"/>
    <w:qFormat/>
    <w:rPr>
      <w:b/>
      <w:color w:val="000000"/>
      <w:sz w:val="24"/>
      <w:szCs w:val="24"/>
    </w:rPr>
  </w:style>
  <w:style w:type="character" w:customStyle="1" w:styleId="ui-state-hover">
    <w:name w:val="ui-state-hover"/>
    <w:basedOn w:val="a0"/>
    <w:qFormat/>
  </w:style>
  <w:style w:type="character" w:customStyle="1" w:styleId="image1">
    <w:name w:val="image1"/>
    <w:basedOn w:val="a0"/>
    <w:qFormat/>
  </w:style>
  <w:style w:type="character" w:customStyle="1" w:styleId="clicked">
    <w:name w:val="clicked"/>
    <w:basedOn w:val="a0"/>
    <w:qFormat/>
  </w:style>
  <w:style w:type="character" w:customStyle="1" w:styleId="ui-state-active">
    <w:name w:val="ui-state-active"/>
    <w:basedOn w:val="a0"/>
    <w:qFormat/>
  </w:style>
  <w:style w:type="character" w:customStyle="1" w:styleId="ui-icon33">
    <w:name w:val="ui-icon33"/>
    <w:basedOn w:val="a0"/>
    <w:qFormat/>
  </w:style>
  <w:style w:type="character" w:customStyle="1" w:styleId="ui-state-active6">
    <w:name w:val="ui-state-active6"/>
    <w:basedOn w:val="a0"/>
    <w:qFormat/>
  </w:style>
  <w:style w:type="character" w:customStyle="1" w:styleId="Char">
    <w:name w:val="批注框文本 Char"/>
    <w:basedOn w:val="a0"/>
    <w:link w:val="a3"/>
    <w:rPr>
      <w:kern w:val="2"/>
      <w:sz w:val="18"/>
      <w:szCs w:val="18"/>
    </w:rPr>
  </w:style>
  <w:style w:type="character" w:customStyle="1" w:styleId="Char0">
    <w:name w:val="页脚 Char"/>
    <w:basedOn w:val="a0"/>
    <w:link w:val="a4"/>
    <w:uiPriority w:val="9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917</Words>
  <Characters>5233</Characters>
  <Application>Microsoft Office Word</Application>
  <DocSecurity>0</DocSecurity>
  <Lines>43</Lines>
  <Paragraphs>12</Paragraphs>
  <ScaleCrop>false</ScaleCrop>
  <Company>微软中国</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附件1：省级部门预算公开说明样式</dc:title>
  <dc:creator>chengws</dc:creator>
  <cp:lastModifiedBy>Administrator</cp:lastModifiedBy>
  <cp:revision>6</cp:revision>
  <cp:lastPrinted>2023-03-22T15:18:00Z</cp:lastPrinted>
  <dcterms:created xsi:type="dcterms:W3CDTF">2014-11-08T04:08:00Z</dcterms:created>
  <dcterms:modified xsi:type="dcterms:W3CDTF">2023-04-07T04:24:00Z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132A0A9F81454D129F3FAE4513652245_12</vt:lpwstr>
  </property>
</Properties>
</file>